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3.xml" ContentType="application/vnd.openxmlformats-officedocument.wordprocessingml.footer+xml"/>
  <Override PartName="/word/footer8.xml" ContentType="application/vnd.openxmlformats-officedocument.wordprocessingml.footer+xml"/>
  <Override PartName="/word/footer17.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header16.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0.xml" ContentType="application/vnd.openxmlformats-officedocument.wordprocessingml.footer+xml"/>
  <Override PartName="/word/footer19.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header18.xml" ContentType="application/vnd.openxmlformats-officedocument.wordprocessingml.header+xml"/>
  <Override PartName="/word/header22.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pStyle w:val="Heading2"/>
        <w:keepNext/>
        <w:keepLines/>
        <w:spacing w:before="0" w:after="0"/>
        <w:ind w:left="0"/>
        <w:jc w:val="left"/>
        <w:rPr/>
      </w:pPr>
      <w:r>
        <w:rPr>
          <w:rFonts w:ascii="Arial" w:hAnsi="Arial" w:eastAsia="Arial" w:cs="Arial"/>
          <w:b/>
          <w:i w:val="0"/>
          <w:color w:val="000000"/>
          <w:sz w:val="20"/>
          <w:u w:val="none"/>
        </w:rPr>
        <w:t xml:space="preserve">Acitretin (SORIATANE)</w:t>
      </w:r>
      <w:r>
        <w:rPr/>
        <mc:AlternateContent>
          <mc:Choice Requires="wps">
            <w:drawing>
              <wp:inline>
                <wp:extent cx="6959600" cy="3175"/>
                <wp:docPr id="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acitretin</w:t>
      </w:r>
      <w:r>
        <w:rPr/>
        <w:fldChar w:fldCharType="begin"/>
      </w:r>
      <w:r>
        <w:rPr/>
        <w:instrText>XE "acitretin"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Severely impaired liver or kidney function. Chronic abnormally elevated blood lipid values. Concomitant use of methotrexate or tetracyclines. Pregnancy. Females of child-bearing potential who intend to become pregnant during therapy or at any time for at least 3 years after discontinuing therapy. Females of child-bearing potential who will not use reliable contraception while undergoing treatment and for at least 3 years following discontinuation. Females of child-bearing potential who drink alcohol during treatment or for two months after cessation of therapy.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severe psoriasis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or older </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Will not be approved for the treatment of acne.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ACTEMRA (tocilizumab)</w:t>
      </w:r>
      <w:r>
        <w:rPr/>
        <mc:AlternateContent>
          <mc:Choice Requires="wps">
            <w:drawing>
              <wp:inline>
                <wp:extent cx="6959600" cy="3175"/>
                <wp:docPr id="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ACTEMRA</w:t>
      </w:r>
      <w:r>
        <w:rPr/>
        <w:fldChar w:fldCharType="begin"/>
      </w:r>
      <w:r>
        <w:rPr/>
        <w:instrText>XE "ACTEMRA"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Tuberculosis (TB), or invasive fungal infections or other active seriousinfections, or history if recurrent infections. Individuals who have not had a tuberculin skin test or Center for Disease Control recommendedequivalent to evaluate for latent tuberculosis prior to initiating Actemra (tocilizumab). Using Actemra in combination with other TNF antagonists, IL-1R antagonists, janus kinase inhibitor, anti-cd20 monoclonal antibodies or selective co-stimulation modulators. At initiation of therapy, absolute neutrophil count (ANC) below 2000/mm3, platelet count below 100,000/mm3, or ALT or AST above 1.5 times the upper limit of normal.</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treatment history and TB evaluation. FDA-approved indications for Actemra IV include Polyarticular Juvenile Idiopathic Arthritis (PJIA), Rheumatoid Arthritis (RA), Systemic Juvenile Idiopathic Arthritis (SJIA). FDA-approved indications for Actemra SC include RA.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RA: 18 years and older for RA. PJIA, SJIA: 2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Rheumatologist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for PJIA if patient is already on Actemra IV or has failed to respond to, is intolerant of, or has a medical contraindication to ONE non-biologic disease modifying anti-rheumatic drug (DMARD) (such as methotrexate [MTX]) AND has had a trial of BOTH Humira AND Enbrel. APPROVE for RA if patient is already on Actemra IV/Actemra SC or has had an inadequate response to ONE non-biological DMARD (e.g., hydroxychloroquine [HCQ], sulfasalazine, MTX, leflunomide, azathioprine, cyclosporine) or a tumor necrosis factor (TNF) antagonist drug AND has had a trial of BOTH Humira AND Enbrel. APPROVE for SJIA if patient is already on Actemra IV or has failed to respond to or has a medical contraindication to ONE nonsteroidal anti-inflammatory drug (NSAID) or corticosteroid AND has failed to respond to or has a medical contraindication to Enbrel and Humira. Patient has been tested for TB and latent TB has been ruled out or is being treated. Dosing as per FDA approved labeling.</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ACTIMMUNE (interferon gamma-1B)</w:t>
      </w:r>
      <w:r>
        <w:rPr/>
        <mc:AlternateContent>
          <mc:Choice Requires="wps">
            <w:drawing>
              <wp:inline>
                <wp:extent cx="6959600" cy="3175"/>
                <wp:docPr id="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ACTIMMUNE</w:t>
      </w:r>
      <w:r>
        <w:rPr/>
        <w:fldChar w:fldCharType="begin"/>
      </w:r>
      <w:r>
        <w:rPr/>
        <w:instrText>XE "ACTIMMUNE"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Hypersensitivity to interferon gamma, E. coli derived proteins, or any component of the formulation.</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of chronic granulomatous disease or severe malignant osteoporosis.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ADCIRCA (tadalafil (Pulmonary Hypertension))</w:t>
      </w:r>
      <w:r>
        <w:rPr/>
        <mc:AlternateContent>
          <mc:Choice Requires="wps">
            <w:drawing>
              <wp:inline>
                <wp:extent cx="6959600" cy="3175"/>
                <wp:docPr id="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tadalafil (pulm. hypertension)</w:t>
      </w:r>
      <w:r>
        <w:rPr/>
        <w:fldChar w:fldCharType="begin"/>
      </w:r>
      <w:r>
        <w:rPr/>
        <w:instrText>XE "tadalafil (pulm. hypertension)"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Receiving nitrate therapy (includes intermittent use).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Cardiologist or Pulmonologist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Sildenafil citrate (generic Revatio indicated for Pulmonary Hypertension) must be tried first.</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ADDYI (flibanserin)</w:t>
      </w:r>
      <w:r>
        <w:rPr/>
        <mc:AlternateContent>
          <mc:Choice Requires="wps">
            <w:drawing>
              <wp:inline>
                <wp:extent cx="6959600" cy="3175"/>
                <wp:docPr id="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ADDYI</w:t>
      </w:r>
      <w:r>
        <w:rPr/>
        <w:fldChar w:fldCharType="begin"/>
      </w:r>
      <w:r>
        <w:rPr/>
        <w:instrText>XE "ADDYI"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Concomitant use of alcohol. Concomitant use with moderate or strong CYP3A4 inhibitors (eg, ciprofloxacin, clarithromycin, diltiazem, fluconazole, itraconazole,ketoconazole, ritonavir, verapamil). Hepatic impairment (e.g., a Child-Pugh score of 6 points or greater).</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ADocumentation of diagnosis and that the patient is a premenopausal female. Documentation that the patient has no known history of alcohol abuse or has abstained from alcohol abuse for the past 6 months. Prescriber must be certified/enrolled in the Addyi REMS program.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Addyi will NOT be approved if low sexual desire is due to any of the following: 1) a co-existing medical or psychiatric condition, 2) problems within the relationship, 3) the effects of a medication or other drug substance.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Adefovir (HEPSERA)</w:t>
      </w:r>
      <w:r>
        <w:rPr/>
        <mc:AlternateContent>
          <mc:Choice Requires="wps">
            <w:drawing>
              <wp:inline>
                <wp:extent cx="6959600" cy="3175"/>
                <wp:docPr id="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ADEFOVIR</w:t>
      </w:r>
      <w:r>
        <w:rPr/>
        <w:fldChar w:fldCharType="begin"/>
      </w:r>
      <w:r>
        <w:rPr/>
        <w:instrText>XE "ADEFOVIR"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12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Optimal treatment duration is unknown.</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ADEMPAS (riociguat)</w:t>
      </w:r>
      <w:r>
        <w:rPr/>
        <mc:AlternateContent>
          <mc:Choice Requires="wps">
            <w:drawing>
              <wp:inline>
                <wp:extent cx="6959600" cy="3175"/>
                <wp:docPr id="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ADEMPAS</w:t>
      </w:r>
      <w:r>
        <w:rPr/>
        <w:fldChar w:fldCharType="begin"/>
      </w:r>
      <w:r>
        <w:rPr/>
        <w:instrText>XE "ADEMPAS"</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 Concomitant administration with nitrates or nitric oxide donors (such as amyl nitrate) in any form. Concomitant administration with phosphodiesterase inhibitors, including specific PDE-5 inhibitors (such as sildenafil, tadalafil, or vardenafil) or non-specific PDE inhibitors (such as dipyridamole or theophylline).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medication was effective (i.e. improved 6 minute walk distance, oxygen saturation, etc.)</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AFINITOR (everolimus)</w:t>
      </w:r>
      <w:r>
        <w:rPr/>
        <mc:AlternateContent>
          <mc:Choice Requires="wps">
            <w:drawing>
              <wp:inline>
                <wp:extent cx="6959600" cy="3175"/>
                <wp:docPr id="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AFINITOR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everolimus (antineoplastic)</w:t>
      </w:r>
      <w:r>
        <w:rPr/>
        <w:fldChar w:fldCharType="begin"/>
      </w:r>
      <w:r>
        <w:rPr/>
        <w:instrText>XE "AFINITOR ORAL TABLET 10 MG"</w:instrText>
      </w:r>
      <w:r>
        <w:rPr/>
        <w:fldChar w:fldCharType="end"/>
      </w:r>
      <w:r>
        <w:rPr/>
        <w:fldChar w:fldCharType="begin"/>
      </w:r>
      <w:r>
        <w:rPr/>
        <w:instrText>XE "everolimus (antineoplastic)"</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Advanced metastatic renal cell carcinoma and patient has failed therapy (disease progressed) with Sutent or Nexavar (Afinitor only), or B) Progressive pancreatic, nonfunctional GI or lung neuroendocrine tumors (NET) that are unresectable, locally advanced or metastatic (Afinitor only), or C) Renal angiomyolipoma with tuberous sclerosis complex (TSC) and patient does not require immediate surgery (Afinitor only), or D) Advanced hormone receptor-positive, HER2-negative breast cancer and patient is a postmenopausal woman and patient has failed treatment with Femara or Arimidex and the medication will be used in combination with Aromasin (Afinitor only), or E) Subependymal giant cell astrocytoma (SEGA) associated with TSC that requires therapeutic intervention but is not a candidate for curative surgical resection (Afinitor or Afinitor Disperz only).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or older for RCC, pNET, and renal angiomyolipoma with TSC. 1 year of age or older for SEGA.</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ALINIA (nitazoxanide)</w:t>
      </w:r>
      <w:r>
        <w:rPr/>
        <mc:AlternateContent>
          <mc:Choice Requires="wps">
            <w:drawing>
              <wp:inline>
                <wp:extent cx="6959600" cy="3175"/>
                <wp:docPr id="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ALINIA</w:t>
      </w:r>
      <w:r>
        <w:rPr/>
        <w:fldChar w:fldCharType="begin"/>
      </w:r>
      <w:r>
        <w:rPr/>
        <w:instrText>XE "ALINIA"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indicating treatment needed for diarrhea caused by Giardia lamblia or Cryptosporidium parvum.</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Age 1 year or older (Suspension) Age 12 years or older (Tablets)</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30 days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Aliqopa</w:t>
      </w:r>
      <w:r>
        <w:rPr/>
        <mc:AlternateContent>
          <mc:Choice Requires="wps">
            <w:drawing>
              <wp:inline>
                <wp:extent cx="6959600" cy="3175"/>
                <wp:docPr id="1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ALIQOPA</w:t>
      </w:r>
      <w:r>
        <w:rPr/>
        <w:fldChar w:fldCharType="begin"/>
      </w:r>
      <w:r>
        <w:rPr/>
        <w:instrText>XE "ALIQOPA"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relapsed follicular lymphoma (FL) who have received at least two prior systemic therapies.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Alosteron (LOTRONEX)</w:t>
      </w:r>
      <w:r>
        <w:rPr/>
        <mc:AlternateContent>
          <mc:Choice Requires="wps">
            <w:drawing>
              <wp:inline>
                <wp:extent cx="6959600" cy="3175"/>
                <wp:docPr id="1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alosetron</w:t>
      </w:r>
      <w:r>
        <w:rPr/>
        <w:fldChar w:fldCharType="begin"/>
      </w:r>
      <w:r>
        <w:rPr/>
        <w:instrText>XE "alosetron"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Initial therapy for Irritable Bowel Syndrome (IBS) in the male gender.</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Initial Therapy for Irritable Bowel Syndrome (IBS): 1. Confirmed diagnosis of IBS with diarrhea predominant symptoms for at least 6 months Reauthorization for Irritable Bowel Syndrome (IBS): 1. Recurrence of diarrhea predominant IBS, AND 2. documentation of positive clinical response while on Lotronex.</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at least 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Prescriber must be specially trained gastrointestinal physician</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IBS Initial Therapy: 12 weeks Reauthorization: 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Initial Therapy for Irritable Bowel Syndrome (IBS): 1. Failure to both: a. An antispasmodic (e.g. dicyclomine) AND b. An anti-diarrhea agent (e.g. loperamide, diphenoxylate-atropine)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AMPYRA (dalfampridine)</w:t>
      </w:r>
      <w:r>
        <w:rPr/>
        <mc:AlternateContent>
          <mc:Choice Requires="wps">
            <w:drawing>
              <wp:inline>
                <wp:extent cx="6959600" cy="3175"/>
                <wp:docPr id="1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dalfampridine</w:t>
      </w:r>
      <w:r>
        <w:rPr/>
        <w:fldChar w:fldCharType="begin"/>
      </w:r>
      <w:r>
        <w:rPr/>
        <w:instrText>XE "dalfampridine"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History of seizure. Moderate or severe renal impairment (creatinine clearance less than or equal to 50 mL/minute). Patient currently using any other forms of 4-aminopyridine.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multiple sclerosis AND patient is ambulatory AND patient has walking impairment.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Neurologist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3 months. Renewal: 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documentation that walking speed has improved from baseline must be provided.</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ANADROL-50 (oxymetholone)</w:t>
      </w:r>
      <w:r>
        <w:rPr/>
        <mc:AlternateContent>
          <mc:Choice Requires="wps">
            <w:drawing>
              <wp:inline>
                <wp:extent cx="6959600" cy="3175"/>
                <wp:docPr id="1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ANADROL-50</w:t>
      </w:r>
      <w:r>
        <w:rPr/>
        <w:fldChar w:fldCharType="begin"/>
      </w:r>
      <w:r>
        <w:rPr/>
        <w:instrText>XE "ANADROL-50"</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1. Carcinoma of the prostate or breast in male patients. 2. Carcinoma of the breast in females with hypercalcemia, androgenic anabolic steroids may stimulate osteolytic resorption of bones. 3. Pregnancy 4. Nephrosis or the nephrotic phase of nephritis. 5. Severe hepatic dysfunction.</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Acquired Aplastic Anemia: 1. History of failure to erythropoietic stimulating agent, OR 2. Used in combination with antilymphocyte globulin or both antilymphocyte globulin and corticosteroid treatment. Hypoplastic Anemia: 1. Diagnosis of hypoplastic anemia due to myelotoxic drugs, AND 2. Failure to erythropoietic stimulating agent. Pure Red Cell Aplasia: Failure of immunosuppressive therapy. Anemia of Chronic Renal Failure: Failure to an erythropoietic stimulating agent. Preferred Erythropoietin Stimulating Agent: Procrit. Tablet should not replace correcting iron, folic acid, and vitamin B12.</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ANDROGEN DRUGS</w:t>
      </w:r>
      <w:r>
        <w:rPr/>
        <mc:AlternateContent>
          <mc:Choice Requires="wps">
            <w:drawing>
              <wp:inline>
                <wp:extent cx="6959600" cy="3175"/>
                <wp:docPr id="1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METHITEST</w:t>
      </w:r>
      <w:r>
        <w:rPr/>
        <w:fldChar w:fldCharType="begin"/>
      </w:r>
      <w:r>
        <w:rPr/>
        <w:instrText>XE "METHITEST"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 Replacement therapy in congenital or acquired conditions associated with a deficiency or absence of endogenous testosterone, such as:  Primary hypogonadism (congenital or acquired): Testicular failure caused by cryptorchidism, bilateral torsion, orchitis, vanishing testis syndrome, orchiectomy, Klinefelter syndrome, chemotherapy, or toxic damage from alcohol or heavy metals. These men usually have low serum testosterone levels and gonadotropins (follicle-stimulating hormone [FSH], LH) above the normal range. Secondary hypogonadism (congenital or acquired): Idiopathic gonadotropin or luteinizing hormone (LH)releasing hormone (LHRH) deficiency or pituitary-hypothalamic injury from tumors, trauma, or radiation. These men have low serum testosterone concentrations but have gonadotropins in the normal or low range.o The U.S. Food and Drug Administration (FDA) cautions that prescription testosterone products are approved only for men who have low testosterone levels caused by certain medical conditions. The benefit and safety of these medications have not been established for the treatment of low testosterone levels due to aging, even if a mans symptoms seem related to low testosterone. We are requiring that the manufacturers of all approved prescription testosterone products change their labeling to clarify the approved uses of these medications. We are also requiring these manufacturers to add information to the labeling about a possible increased risk of heart attacks and strokes in patients taking testosterone. Health care professionals should prescribe testosterone therapy only for men with low testosterone levels caused by certain medical conditions and confirmed by laboratory tests. [FDA Drug Safety Communication (03-03-2015)]</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Use in women Men with carcinoma of the breast or known or suspected carcinoma of the prostate Low testosterone due to aging (per FDA, this is not included in the indication of idiopathic hypogonadism)</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(notes and lab results) of testosterone deficiency diagnosis based on FDA approved indication and monitoring for safety and efficacy of testosterone therapy:  Clinical documentation required for initial authorization includes:1) Documentation of FDA-approved indication as described under Covered Use.2) Written description of symptoms and signs relating to possible androgen deficiency with evaluation of other causes of symptoms  AND 3) At least two morning serum testosterone levels (total) below the normal range for the laboratory  OR at least one morning serum testosterone level (total) below the normal range for the laboratory with elevated or low FSH and/or LH a.  if alterations in SHBG is suspected (i.e. due to obesity or diabetes) then a free, testosterone level may be needed4) Baseline hematocrit must be less than 50% AND 5) Prostate-specific antigen (PSA): a. Patients with palpable prostate nodule or induration or PSA more than 4 ng/mL or PSA more than 3 ng/mL in men at high risk of prostate cancer require urological evaluation prior to approval, and/or b. Men older than 40 years with baseline PSA more than 0.6 ng/mL will require prostate exam and PSA measurement prior to treatment approval AND6) Assessment of patients past medical history (i.e. breast or prostate cancer, age, cardiovascular disease, liver disease, diabetes, age, obesity, obstructive sleep apnea, BPH) and documented discussion about the risks and benefits of testosterone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6 months, Reauthorization: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Studies have suggested an increased risk of cardiovascular events among groups of men prescribed testosterone therapy. The Endocrine Society suggests it may be prudent to avoid testosterone therapy in men who have experienced a cardiovascular event (e.g., myocardial infarction [MI], stroke, acute coronary syndrome) in the past 6 months. These risks are currently under review by the FDA. The Endocrine Society recommends against starting testosterone therapy in patients with untreated severe obstructive sleep apnea, severe untreated BPH with International Prostate Symptom Score of more than 19, or uncontrolled or poorly controlled heart failure.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APTIOM (eslicarbazepine acetate)</w:t>
      </w:r>
      <w:r>
        <w:rPr/>
        <mc:AlternateContent>
          <mc:Choice Requires="wps">
            <w:drawing>
              <wp:inline>
                <wp:extent cx="6959600" cy="3175"/>
                <wp:docPr id="1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APTIOM</w:t>
      </w:r>
      <w:r>
        <w:rPr/>
        <w:fldChar w:fldCharType="begin"/>
      </w:r>
      <w:r>
        <w:rPr/>
        <w:instrText>XE "APTIOM"</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ARANESP (darbepoetin alfa)</w:t>
      </w:r>
      <w:r>
        <w:rPr/>
        <mc:AlternateContent>
          <mc:Choice Requires="wps">
            <w:drawing>
              <wp:inline>
                <wp:extent cx="6959600" cy="3175"/>
                <wp:docPr id="1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ARANESP (IN POLYSORBATE)</w:t>
      </w:r>
      <w:r>
        <w:rPr/>
        <w:fldChar w:fldCharType="begin"/>
      </w:r>
      <w:r>
        <w:rPr/>
        <w:instrText>XE "ARANESP (IN POLYSORBATE)"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  anemia due to myelodysplastic syndromes (MDS).</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Patients receiving chemotherapy with curative intent. Patients with myeloid cancer.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For all uses: 1) Pretreatment (no erythropoietin treatment in previous month) Hgb is less than 10 g/dL, AND 2) For reauthorizations (patient received erythropoietin in previous month), an increase in Hgb of at least 1 g/dL after at least 12 weeks of therapy. Additional requirements for anemia due to myelosuppressive cancer chemotherapy: 1) For initial therapy, at least 2 more months of chemotherapy is expected, AND 2) For reauthorizations, current Hgb is less than 11 g/dL. Additional requirements for CKD not on dialysis reauthorization: 1) Current Hgb is less than or equal to 10 g/dL OR Hgb is greater than 10 but less than or equal to 12 g/dL AND prescriber will reduce or interrupt dose. Additional requirements for MDS: 1) Patient has symptomatic anemia, AND 2) Pretreatment serum erythropoietin level is less than or equal to 500 mU/mL, AND 3) For reauthorizations, current Hgb is less than or equal to 11 g/dL OR Hgb is greater than 11 but less than or equal to 12 g/dL AND prescriber will reduce or interrupt dose.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MDS anemia, prescribed by or in consultation with, a hematologist or 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ARCALYST (rilonacept)</w:t>
      </w:r>
      <w:r>
        <w:rPr/>
        <mc:AlternateContent>
          <mc:Choice Requires="wps">
            <w:drawing>
              <wp:inline>
                <wp:extent cx="6959600" cy="3175"/>
                <wp:docPr id="1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ARCALYST</w:t>
      </w:r>
      <w:r>
        <w:rPr/>
        <w:fldChar w:fldCharType="begin"/>
      </w:r>
      <w:r>
        <w:rPr/>
        <w:instrText>XE "ARCALYST"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Use in combination with other IL-1 inhibitors (e.g. Ilaris, Kineret) or tumor necrosis factor (TNF) inhibitors (e.g. Enbrel, Humira, Remicade, etc). Individual is receiving live vaccines. Exhibiting evidence of active or chronic infection(s), including tuberculosis, or a history of recurrent infections. Individual has not had a tuberculin skin test (TST) or Centers for Disease Control (CDC)-recommended equivalent to evaluate for latent tuberculosis prior to initiating treatmentwith rilonacept.</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cryopyrin-associated period syndromes (CAPS), including Familial Cold Auto-inflammatory Syndrome (FCAS) and/or Muckle-Wells Syndrome (MWS). Member's diagnosis of CAPS must be confirmed by either NRLP=3 gene mutation OR overproduction of interleukin-1.</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12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or recommendation of, an immunologist, allergist, dermatologist, rheumatologist, neurologist, or other medical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doses based on FDA labeling.</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Armodafinil (NUVIGIL)</w:t>
      </w:r>
      <w:r>
        <w:rPr/>
        <mc:AlternateContent>
          <mc:Choice Requires="wps">
            <w:drawing>
              <wp:inline>
                <wp:extent cx="6959600" cy="3175"/>
                <wp:docPr id="1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armodafinil</w:t>
      </w:r>
      <w:r>
        <w:rPr/>
        <w:fldChar w:fldCharType="begin"/>
      </w:r>
      <w:r>
        <w:rPr/>
        <w:instrText>XE "armodafinil"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at least 17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Idiopathic hypersomnia--  approve if the diagnosis is confirmed by a sleep specialist physician or at an institution that specializes in sleep disorders (i.e., sleep center)</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AUBAGIO (teriflunomide)</w:t>
      </w:r>
      <w:r>
        <w:rPr/>
        <mc:AlternateContent>
          <mc:Choice Requires="wps">
            <w:drawing>
              <wp:inline>
                <wp:extent cx="6959600" cy="3175"/>
                <wp:docPr id="1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AUBAGIO</w:t>
      </w:r>
      <w:r>
        <w:rPr/>
        <w:fldChar w:fldCharType="begin"/>
      </w:r>
      <w:r>
        <w:rPr/>
        <w:instrText>XE "AUBAGIO"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Concurrent use of Aubagio with other disease-modifying agents used for multiple sclerosis (MS) [eg, Avonex, Rebif, Betaseron, Extavia, Copaxone, Tysabri, Tecfidera, or Gilenya].</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relapsing form of MS (RRMS, SPMS with relapses, or PRMS) and previous MS therapies tried.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a neurologist or MS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use in a relapsing form of MS, approve if: 1) Patient is currently taking teriflunomide (Aubagio), OR  2) Patient has tried dimethyl fumarate (Tecfidera), interferon beta-1a intramuscular (Avonex) and glatiramer acetate (Copaxone).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Austedo</w:t>
      </w:r>
      <w:r>
        <w:rPr/>
        <mc:AlternateContent>
          <mc:Choice Requires="wps">
            <w:drawing>
              <wp:inline>
                <wp:extent cx="6959600" cy="3175"/>
                <wp:docPr id="2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AUSTEDO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12 MG, 6 MG, 9 MG</w:t>
      </w:r>
      <w:r>
        <w:rPr/>
        <w:fldChar w:fldCharType="begin"/>
      </w:r>
      <w:r>
        <w:rPr/>
        <w:instrText>XE "AUSTEDO ORAL TABLET 12 MG, 6 MG, 9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AVONEX (Interferon Beta-1a)</w:t>
      </w:r>
      <w:r>
        <w:rPr/>
        <mc:AlternateContent>
          <mc:Choice Requires="wps">
            <w:drawing>
              <wp:inline>
                <wp:extent cx="6959600" cy="3175"/>
                <wp:docPr id="2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AVONEX INTRAMUSCULAR PEN INJECTOR KIT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AVONEX INTRAMUSCULAR SYRINGE KIT</w:t>
      </w:r>
      <w:r>
        <w:rPr/>
        <w:fldChar w:fldCharType="begin"/>
      </w:r>
      <w:r>
        <w:rPr/>
        <w:instrText>XE "AVONEX INTRAMUSCULAR PEN INJECTOR KIT"</w:instrText>
      </w:r>
      <w:r>
        <w:rPr/>
        <w:fldChar w:fldCharType="end"/>
      </w:r>
      <w:r>
        <w:rPr/>
        <w:fldChar w:fldCharType="begin"/>
      </w:r>
      <w:r>
        <w:rPr/>
        <w:instrText>XE "AVONEX INTRAMUSCULAR SYRINGE KIT"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Treatment of primary progressive MS is not covered. Combination therapy with a beta interferon product, Gilenya, Aubagio, Tecfidera, Tysabri or Copaxone is not covered.</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relapsing form of multiple sclerosis OR diagnosis of first clinical episode and MRI features consistent with multiple sclerosis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a neurologist or MS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Ayvakit (avapritinib)</w:t>
      </w:r>
      <w:r>
        <w:rPr/>
        <mc:AlternateContent>
          <mc:Choice Requires="wps">
            <w:drawing>
              <wp:inline>
                <wp:extent cx="6959600" cy="3175"/>
                <wp:docPr id="2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AYVAKIT</w:t>
      </w:r>
      <w:r>
        <w:rPr/>
        <w:fldChar w:fldCharType="begin"/>
      </w:r>
      <w:r>
        <w:rPr/>
        <w:instrText>XE "AYVAKIT"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unresectable or metastatic GIST harboring a platelet-derived growth factor receptor alpha (PDGFRA) exon 18 mutation.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Balversa (Erdafitinib)</w:t>
      </w:r>
      <w:r>
        <w:rPr/>
        <mc:AlternateContent>
          <mc:Choice Requires="wps">
            <w:drawing>
              <wp:inline>
                <wp:extent cx="6959600" cy="3175"/>
                <wp:docPr id="2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BALVERSA</w:t>
      </w:r>
      <w:r>
        <w:rPr/>
        <w:fldChar w:fldCharType="begin"/>
      </w:r>
      <w:r>
        <w:rPr/>
        <w:instrText>XE "BALVERSA"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locally advanced or metastatic urothelial carcinoma AND member has susceptible FGFR3 or FGFR2 genetic alteration as detected by an FDA-approved companion diagnostic AND disease has progressed during or following at least one line of prior platinum-containing chemotherapy including within 12 months of neoadjuvant or adjuvant platinum-containing chemotherapy.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BANZEL (rufinamide)</w:t>
      </w:r>
      <w:r>
        <w:rPr/>
        <mc:AlternateContent>
          <mc:Choice Requires="wps">
            <w:drawing>
              <wp:inline>
                <wp:extent cx="6959600" cy="3175"/>
                <wp:docPr id="2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BANZEL ORAL SUSPENSION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BANZEL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200 MG, 400 MG</w:t>
      </w:r>
      <w:r>
        <w:rPr/>
        <w:fldChar w:fldCharType="begin"/>
      </w:r>
      <w:r>
        <w:rPr/>
        <w:instrText>XE "BANZEL ORAL SUSPENSION"</w:instrText>
      </w:r>
      <w:r>
        <w:rPr/>
        <w:fldChar w:fldCharType="end"/>
      </w:r>
      <w:r>
        <w:rPr/>
        <w:fldChar w:fldCharType="begin"/>
      </w:r>
      <w:r>
        <w:rPr/>
        <w:instrText>XE "BANZEL ORAL TABLET 200 MG, 400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Banzel is not covered for members with the diagnosis of Familial Short QT syndrome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Documentation of previous therapies and that the current medication regimen is inadequate to control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Must be 1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Patient must be refractory to at least 2 of the following: Felbamate (Felbatol), Lamotrigine (Lamictal),Topiramate (Topamax), Valproic acid (Depakene),Divalproex sodium (Depakote)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BARACLUDE (entecavir)</w:t>
      </w:r>
      <w:r>
        <w:rPr/>
        <mc:AlternateContent>
          <mc:Choice Requires="wps">
            <w:drawing>
              <wp:inline>
                <wp:extent cx="6959600" cy="3175"/>
                <wp:docPr id="2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BARACLUDE ORAL SOLUTION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ENTECAVIR</w:t>
      </w:r>
      <w:r>
        <w:rPr/>
        <w:fldChar w:fldCharType="begin"/>
      </w:r>
      <w:r>
        <w:rPr/>
        <w:instrText>XE "BARACLUDE ORAL SOLUTION"</w:instrText>
      </w:r>
      <w:r>
        <w:rPr/>
        <w:fldChar w:fldCharType="end"/>
      </w:r>
      <w:r>
        <w:rPr/>
        <w:fldChar w:fldCharType="begin"/>
      </w:r>
      <w:r>
        <w:rPr/>
        <w:instrText>XE "ENTECAVIR"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Bavencio</w:t>
      </w:r>
      <w:r>
        <w:rPr/>
        <mc:AlternateContent>
          <mc:Choice Requires="wps">
            <w:drawing>
              <wp:inline>
                <wp:extent cx="6959600" cy="3175"/>
                <wp:docPr id="2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BAVENCIO</w:t>
      </w:r>
      <w:r>
        <w:rPr/>
        <w:fldChar w:fldCharType="begin"/>
      </w:r>
      <w:r>
        <w:rPr/>
        <w:instrText>XE "BAVENCIO"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Belsomra</w:t>
      </w:r>
      <w:r>
        <w:rPr/>
        <mc:AlternateContent>
          <mc:Choice Requires="wps">
            <w:drawing>
              <wp:inline>
                <wp:extent cx="6959600" cy="3175"/>
                <wp:docPr id="2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BELSOMRA</w:t>
      </w:r>
      <w:r>
        <w:rPr/>
        <w:fldChar w:fldCharType="begin"/>
      </w:r>
      <w:r>
        <w:rPr/>
        <w:instrText>XE "BELSOMRA"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trial and failure of two formulary alternatives AND documented medication review to rule out medication induced insomnia.</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BENLYSTA</w:t>
      </w:r>
      <w:r>
        <w:rPr/>
        <mc:AlternateContent>
          <mc:Choice Requires="wps">
            <w:drawing>
              <wp:inline>
                <wp:extent cx="6959600" cy="3175"/>
                <wp:docPr id="2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BENLYSTA SUBCUTANEOUS SYRINGE</w:t>
      </w:r>
      <w:r>
        <w:rPr/>
        <w:fldChar w:fldCharType="begin"/>
      </w:r>
      <w:r>
        <w:rPr/>
        <w:instrText>XE "BENLYSTA SUBCUTANEOUS SYRINGE"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exluded for part D</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from the medical record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Benznidazole</w:t>
      </w:r>
      <w:r>
        <w:rPr/>
        <mc:AlternateContent>
          <mc:Choice Requires="wps">
            <w:drawing>
              <wp:inline>
                <wp:extent cx="6959600" cy="3175"/>
                <wp:docPr id="2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benznidazole</w:t>
      </w:r>
      <w:r>
        <w:rPr/>
        <w:fldChar w:fldCharType="begin"/>
      </w:r>
      <w:r>
        <w:rPr/>
        <w:instrText>XE "benznidazole"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Patients who have used disulfiram within two weeks of initiation of benznidazole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a consultation with an infectious disease specialist. Reviewer will verify patient claim history to confirm that patient has not used disulfiram within two weeks prior to benznidazole initiation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60 days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Benzodiazepines</w:t>
      </w:r>
      <w:r>
        <w:rPr/>
        <mc:AlternateContent>
          <mc:Choice Requires="wps">
            <w:drawing>
              <wp:inline>
                <wp:extent cx="6959600" cy="3175"/>
                <wp:docPr id="3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DIAZEPAM INTENSOL</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diazepam oral concentrate</w:t>
      </w:r>
      <w:r>
        <w:rPr/>
        <w:fldChar w:fldCharType="begin"/>
      </w:r>
      <w:r>
        <w:rPr/>
        <w:instrText>XE "DIAZEPAM INTENSOL"</w:instrText>
      </w:r>
      <w:r>
        <w:rPr/>
        <w:fldChar w:fldCharType="end"/>
      </w:r>
      <w:r>
        <w:rPr/>
        <w:fldChar w:fldCharType="begin"/>
      </w:r>
      <w:r>
        <w:rPr/>
        <w:instrText>XE "diazepam oral concentrate"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BETASERON (interferon beta-1b)</w:t>
      </w:r>
      <w:r>
        <w:rPr/>
        <mc:AlternateContent>
          <mc:Choice Requires="wps">
            <w:drawing>
              <wp:inline>
                <wp:extent cx="6959600" cy="3175"/>
                <wp:docPr id="3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BETASERON SUBCUTANEOUS KIT</w:t>
      </w:r>
      <w:r>
        <w:rPr/>
        <w:fldChar w:fldCharType="begin"/>
      </w:r>
      <w:r>
        <w:rPr/>
        <w:instrText>XE "BETASERON SUBCUTANEOUS KIT"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Treatment of primary progressive MS is not covered. Combination therapy with a beta interferon product, Gilenya, Aubagio, Tecfidera, Tysabri or Copaxone is not covered.</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relapsing form of multiple sclerosis OR diagnosis of first clinical episode and MRI features consistent with multiple sclerosis.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a neurologist or MS specialist. </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if: 1) Patient is currently taking Betaseron, OR  2) Patient has tried dimethyl fumarate (Tecfidera), interferon beta-1a intramuscular (Avonex) and glatiramer acetate (Copaxone)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BOSULIF</w:t>
      </w:r>
      <w:r>
        <w:rPr/>
        <mc:AlternateContent>
          <mc:Choice Requires="wps">
            <w:drawing>
              <wp:inline>
                <wp:extent cx="6959600" cy="3175"/>
                <wp:docPr id="3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BOSULIF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100 MG, 400 MG, 500 MG</w:t>
      </w:r>
      <w:r>
        <w:rPr/>
        <w:fldChar w:fldCharType="begin"/>
      </w:r>
      <w:r>
        <w:rPr/>
        <w:instrText>XE "BOSULIF ORAL TABLET 100 MG, 400 MG, 500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Braftovi (Encorafenib)</w:t>
      </w:r>
      <w:r>
        <w:rPr/>
        <mc:AlternateContent>
          <mc:Choice Requires="wps">
            <w:drawing>
              <wp:inline>
                <wp:extent cx="6959600" cy="3175"/>
                <wp:docPr id="3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BRAFTOVI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50 MG, 75 MG</w:t>
      </w:r>
      <w:r>
        <w:rPr/>
        <w:fldChar w:fldCharType="begin"/>
      </w:r>
      <w:r>
        <w:rPr/>
        <w:instrText>XE "BRAFTOVI ORAL CAPSULE 50 MG, 75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unresectable or metastatic melanoma with a BRAF V600E or V600K mutation, as detected by an FDA-approved test and the medication will be used in combination with binimetinib.</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Brand Antipsychotics</w:t>
      </w:r>
      <w:r>
        <w:rPr/>
        <mc:AlternateContent>
          <mc:Choice Requires="wps">
            <w:drawing>
              <wp:inline>
                <wp:extent cx="6959600" cy="3175"/>
                <wp:docPr id="3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CAPLYTA</w:t>
      </w:r>
      <w:r>
        <w:rPr/>
        <w:fldChar w:fldCharType="begin"/>
      </w:r>
      <w:r>
        <w:rPr/>
        <w:instrText>XE "CAPLYTA"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trial of any of the two following drugs: aripiprazole, clozapine, olanzapine, risperidone, quetiapine, ziprasidone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Breast Cancer Prevention Medications - $0 Cost-share Eligibility Criteria</w:t>
      </w:r>
      <w:r>
        <w:rPr/>
        <mc:AlternateContent>
          <mc:Choice Requires="wps">
            <w:drawing>
              <wp:inline>
                <wp:extent cx="6959600" cy="3175"/>
                <wp:docPr id="3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raloxifene</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tamoxifen</w:t>
      </w:r>
      <w:r>
        <w:rPr/>
        <w:fldChar w:fldCharType="begin"/>
      </w:r>
      <w:r>
        <w:rPr/>
        <w:instrText>XE "raloxifene"</w:instrText>
      </w:r>
      <w:r>
        <w:rPr/>
        <w:fldChar w:fldCharType="end"/>
      </w:r>
      <w:r>
        <w:rPr/>
        <w:fldChar w:fldCharType="begin"/>
      </w:r>
      <w:r>
        <w:rPr/>
        <w:instrText>XE "tamoxifen"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This criteria is a copay review process. The medications tamoxifen or raloxifene may be eligible for $0 cost-share for women 35 years of age or older who: 1) do not have a history of breast cancer, and 2) are being prescribed tamoxifen or raloxifene for the purpose of primary prevention of invasive breast cancer because the member is deemed high risk, and 3) are post-menopausal, if prescribed raloxifene (this requirement does not apply to tamoxifen)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Women under 35 years of age, history of breast cancer</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A 5-year predicted risk of breast cancer greater than or equal to 1.66%, as calculated by the Gail model.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35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5 years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BROVANA (arformoterol tartrate)</w:t>
      </w:r>
      <w:r>
        <w:rPr/>
        <mc:AlternateContent>
          <mc:Choice Requires="wps">
            <w:drawing>
              <wp:inline>
                <wp:extent cx="6959600" cy="3175"/>
                <wp:docPr id="3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BROVANA</w:t>
      </w:r>
      <w:r>
        <w:rPr/>
        <w:fldChar w:fldCharType="begin"/>
      </w:r>
      <w:r>
        <w:rPr/>
        <w:instrText>XE "BROVANA"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have documented failure, intolerance or contraindication to a long-acting beta agonist formulary product OR be unable to use a hand-actuated device.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Brukinsa (zanubrutinib)</w:t>
      </w:r>
      <w:r>
        <w:rPr/>
        <mc:AlternateContent>
          <mc:Choice Requires="wps">
            <w:drawing>
              <wp:inline>
                <wp:extent cx="6959600" cy="3175"/>
                <wp:docPr id="3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BRUKINSA</w:t>
      </w:r>
      <w:r>
        <w:rPr/>
        <w:fldChar w:fldCharType="begin"/>
      </w:r>
      <w:r>
        <w:rPr/>
        <w:instrText>XE "BRUKINSA"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mantle cell lymphoma (MCL) in patients who have received at least one prior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BUPHENYL (sodium phenylbutyrate)</w:t>
      </w:r>
      <w:r>
        <w:rPr/>
        <mc:AlternateContent>
          <mc:Choice Requires="wps">
            <w:drawing>
              <wp:inline>
                <wp:extent cx="6959600" cy="3175"/>
                <wp:docPr id="3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BUPHENYL ORAL TABLET</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sodium phenylbutyrate oral tablet</w:t>
      </w:r>
      <w:r>
        <w:rPr/>
        <w:fldChar w:fldCharType="begin"/>
      </w:r>
      <w:r>
        <w:rPr/>
        <w:instrText>XE "BUPHENYL ORAL TABLET"</w:instrText>
      </w:r>
      <w:r>
        <w:rPr/>
        <w:fldChar w:fldCharType="end"/>
      </w:r>
      <w:r>
        <w:rPr/>
        <w:fldChar w:fldCharType="begin"/>
      </w:r>
      <w:r>
        <w:rPr/>
        <w:instrText>XE "sodium phenylbutyrate oral tablet"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confirmed by enzymatic, biochemical or genetic testing. Buphenyl will be used for chronic management of urea cycle disorders (UCD).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Buprenorphine Products</w:t>
      </w:r>
      <w:r>
        <w:rPr/>
        <mc:AlternateContent>
          <mc:Choice Requires="wps">
            <w:drawing>
              <wp:inline>
                <wp:extent cx="6959600" cy="3175"/>
                <wp:docPr id="3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buprenorphine HCl sublingual</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buprenorphine-naloxone sublingual film</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12-3 mg, 2-0.5 mg, 4-1 mg, 8-2 mg</w:t>
      </w:r>
      <w:r>
        <w:rPr/>
        <w:fldChar w:fldCharType="begin"/>
      </w:r>
      <w:r>
        <w:rPr/>
        <w:instrText>XE "buprenorphine HCl sublingual"</w:instrText>
      </w:r>
      <w:r>
        <w:rPr/>
        <w:fldChar w:fldCharType="end"/>
      </w:r>
      <w:r>
        <w:rPr/>
        <w:fldChar w:fldCharType="begin"/>
      </w:r>
      <w:r>
        <w:rPr/>
        <w:instrText>XE "buprenorphine-naloxone sublingual film 12-3 mg, 2-0.5 mg, 4-1 mg, 8-2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Being used for the treatment of pain OR patient is using short or long acting narcotics concurrently with Suboxone/Subutex.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The indicated diagnosis and medication usage must be supported by documentation from the patient's medical records.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Must be 16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Prescribing provider must have a DEA number starting with the letter X, AND physician must be listed on the Buprenorphine Physician Locator maintained by the Substance Abuse and Mental Health Services Administration (SAMSHA).</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BUSULFEX (busulfan)</w:t>
      </w:r>
      <w:r>
        <w:rPr/>
        <mc:AlternateContent>
          <mc:Choice Requires="wps">
            <w:drawing>
              <wp:inline>
                <wp:extent cx="6959600" cy="3175"/>
                <wp:docPr id="4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BUSULFEX</w:t>
      </w:r>
      <w:r>
        <w:rPr/>
        <w:fldChar w:fldCharType="begin"/>
      </w:r>
      <w:r>
        <w:rPr/>
        <w:instrText>XE "BUSULFEX"</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Calcitonin Gene-Related Peptides </w:t>
      </w:r>
      <w:r>
        <w:rPr/>
        <mc:AlternateContent>
          <mc:Choice Requires="wps">
            <w:drawing>
              <wp:inline>
                <wp:extent cx="6959600" cy="3175"/>
                <wp:docPr id="4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AIMOVIG AUTOINJECTOR</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AJOVY SYRINGE</w:t>
      </w:r>
      <w:r>
        <w:rPr/>
        <w:fldChar w:fldCharType="begin"/>
      </w:r>
      <w:r>
        <w:rPr/>
        <w:instrText>XE "AIMOVIG AUTOINJECTOR"</w:instrText>
      </w:r>
      <w:r>
        <w:rPr/>
        <w:fldChar w:fldCharType="end"/>
      </w:r>
      <w:r>
        <w:rPr/>
        <w:fldChar w:fldCharType="begin"/>
      </w:r>
      <w:r>
        <w:rPr/>
        <w:instrText>XE "AJOVY SYRINGE"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migraines and member has tried and failed two formulary alternatives for migraine prophylaxis with two different mechanism of action.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Calquence</w:t>
      </w:r>
      <w:r>
        <w:rPr/>
        <mc:AlternateContent>
          <mc:Choice Requires="wps">
            <w:drawing>
              <wp:inline>
                <wp:extent cx="6959600" cy="3175"/>
                <wp:docPr id="4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CALQUENCE</w:t>
      </w:r>
      <w:r>
        <w:rPr/>
        <w:fldChar w:fldCharType="begin"/>
      </w:r>
      <w:r>
        <w:rPr/>
        <w:instrText>XE "CALQUENCE"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mantle cell lymphoma (MCL) who have received at least one prior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capecitabine (XELODA)</w:t>
      </w:r>
      <w:r>
        <w:rPr/>
        <mc:AlternateContent>
          <mc:Choice Requires="wps">
            <w:drawing>
              <wp:inline>
                <wp:extent cx="6959600" cy="3175"/>
                <wp:docPr id="4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capecitabine</w:t>
      </w:r>
      <w:r>
        <w:rPr/>
        <w:fldChar w:fldCharType="begin"/>
      </w:r>
      <w:r>
        <w:rPr/>
        <w:instrText>XE "capecitabine"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CAPRELSA (vandetanib)</w:t>
      </w:r>
      <w:r>
        <w:rPr/>
        <mc:AlternateContent>
          <mc:Choice Requires="wps">
            <w:drawing>
              <wp:inline>
                <wp:extent cx="6959600" cy="3175"/>
                <wp:docPr id="4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CAPRELSA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100 MG, 300 MG</w:t>
      </w:r>
      <w:r>
        <w:rPr/>
        <w:fldChar w:fldCharType="begin"/>
      </w:r>
      <w:r>
        <w:rPr/>
        <w:instrText>XE "CAPRELSA ORAL TABLET 100 MG, 300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Congenital long QT syndrome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symptomatic or progressive medullary thyroid cancer with unresectable locally advanced or metastatic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endocrinologist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CASPOFUNGIN</w:t>
      </w:r>
      <w:r>
        <w:rPr/>
        <mc:AlternateContent>
          <mc:Choice Requires="wps">
            <w:drawing>
              <wp:inline>
                <wp:extent cx="6959600" cy="3175"/>
                <wp:docPr id="4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caspofungin</w:t>
      </w:r>
      <w:r>
        <w:rPr/>
        <w:fldChar w:fldCharType="begin"/>
      </w:r>
      <w:r>
        <w:rPr/>
        <w:instrText>XE "caspofungin"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A)Empirical therapy for presumed fungal infections in febrile, neutropenic patients, or B)Treatment of candidemia and other Candida infections (intraabdominal abscesses, peritonitis and pleural space infections), or C)Treatment of esophageal candidiasis, or D)Treatment of invasive aspergillosis in patients who are refractory to or intolerant of other therapies (amphotericin B, itraconazole).Age Restrictions: 3 months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CAYSTON (aztreonam lysine)</w:t>
      </w:r>
      <w:r>
        <w:rPr/>
        <mc:AlternateContent>
          <mc:Choice Requires="wps">
            <w:drawing>
              <wp:inline>
                <wp:extent cx="6959600" cy="3175"/>
                <wp:docPr id="4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CAYSTON</w:t>
      </w:r>
      <w:r>
        <w:rPr/>
        <w:fldChar w:fldCharType="begin"/>
      </w:r>
      <w:r>
        <w:rPr/>
        <w:instrText>XE "CAYSTON"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cystic fibrosis AND patient has evidence of P. aeruginosa in the lungs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7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Patient is benefiting from treatment (i.e. improvement in lung function [FEV1], decreased number of pulmonary exacerbations)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CESAMET (nabilone)</w:t>
      </w:r>
      <w:r>
        <w:rPr/>
        <mc:AlternateContent>
          <mc:Choice Requires="wps">
            <w:drawing>
              <wp:inline>
                <wp:extent cx="6959600" cy="3175"/>
                <wp:docPr id="4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CESAMET</w:t>
      </w:r>
      <w:r>
        <w:rPr/>
        <w:fldChar w:fldCharType="begin"/>
      </w:r>
      <w:r>
        <w:rPr/>
        <w:instrText>XE "CESAMET"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nabilone is being used for the treatment of the nausea and vomiting associated with cancer chemotherapy in patients who have a failed to respond adequately to conventional antiemetic treatments (e.g. Zofran and Emend).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Older than 10 months</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the duration of chemotherapy</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 substantial proportion of any group of patients treated with nabilone can be expected to experience disturbing psychotomimetic reactions not observed with other antiemetic agents. Because of its potential to alter the mental state, nabilone is intended for use under circumstances that permit close supervision of the patient by a responsible individual, particularly during the initial use of nabilone and during dose adjustments. Nabilone is not intended for use on an as-needed basis or as the first antiemetic product prescribed for a patient.</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CIALIS (tadalafil) 2.5 mg and 5 mg</w:t>
      </w:r>
      <w:r>
        <w:rPr/>
        <mc:AlternateContent>
          <mc:Choice Requires="wps">
            <w:drawing>
              <wp:inline>
                <wp:extent cx="6959600" cy="3175"/>
                <wp:docPr id="4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CIALIS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2.5 MG, 5 MG</w:t>
      </w:r>
      <w:r>
        <w:rPr/>
        <w:fldChar w:fldCharType="begin"/>
      </w:r>
      <w:r>
        <w:rPr/>
        <w:instrText>XE "CIALIS ORAL TABLET 2.5 MG, 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 not otherwise excluded by Health Plan. Use for Erectile Dysfunction is not covered.</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Concurrent use of organic nitrate (regularly and/or intermittently) or guanylate cyclase stimulators (e.g. riociguat).</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Benign prostatic hyperplasia (BPH) diagnosis and history BPH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Use for Erectile Dysfunction is not covered. Must have tried and failed at least 2 other formulary medications for BPH such as tamsulosin, alfuzosin, dutasteride, finasteride, doxazosin, terazosin.</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CIMZIA (certolizumab pegol)</w:t>
      </w:r>
      <w:r>
        <w:rPr/>
        <mc:AlternateContent>
          <mc:Choice Requires="wps">
            <w:drawing>
              <wp:inline>
                <wp:extent cx="6959600" cy="3175"/>
                <wp:docPr id="4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CIMZIA</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CIMZIA POWDER FOR RECONST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CIMZIA STARTER KIT</w:t>
      </w:r>
      <w:r>
        <w:rPr/>
        <w:fldChar w:fldCharType="begin"/>
      </w:r>
      <w:r>
        <w:rPr/>
        <w:instrText>XE "CIMZIA"</w:instrText>
      </w:r>
      <w:r>
        <w:rPr/>
        <w:fldChar w:fldCharType="end"/>
      </w:r>
      <w:r>
        <w:rPr/>
        <w:fldChar w:fldCharType="begin"/>
      </w:r>
      <w:r>
        <w:rPr/>
        <w:instrText>XE "CIMZIA POWDER FOR RECONST"</w:instrText>
      </w:r>
      <w:r>
        <w:rPr/>
        <w:fldChar w:fldCharType="end"/>
      </w:r>
      <w:r>
        <w:rPr/>
        <w:fldChar w:fldCharType="begin"/>
      </w:r>
      <w:r>
        <w:rPr/>
        <w:instrText>XE "CIMZIA STARTER KIT"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Tuberculosis (TB), or invasive fungal infections or other active seriousinfections, or history if recurrent infections. Individuals who have not had a tuberculin skin test or Center for Disease Control recommendedequivalent to evaluate for latent tuberculosis prior to initiating Cimzia. Using Cimzia in combination with other TNF antagonists,IL-1R antagonists, janus kinase inhibitor, anti-cd20 monoclonalantibodies or selective co-stimulation modulators.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treatment history and TB evaluation.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prescribed by or in consultation with a rheumatologist or a gastroenterologist.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for AS if patient is already on Cimzia or has had an inadequate response, intolerance or contraindication to one or more NSAIDs (e.g. ibuprofen, naproxen, meloxicam, celecoxib) and has had a trial of BOTH Humira AND Enbrel. APPROVE CD if patient is already on Cimzia or has had an inadequate response, intolerance, or contraindication to two or more of the following: corticosteroids (e.g., prednisone, methylprednisolone) or non-biologic disease modifying anti-rheumatic drug (DMARD) (e.g., azathioprine, methotrexate [MTX], mercaptopurine) and has tried Humira. APPROVE for PsA if patient is already on Cimzia or has had an inadequate response, intolerance, or contraindication to MTX and has had a trial of BOTH Humira AND Enbrel. APPROVE for RA if patient is already on Cimzia or has had an inadequate response to ONE non-biological DMARD (e.g., hydroxychloroquine [HCQ], sulfasalazine, MTX, leflunomide, azathioprine, cyclosporine) or a tumor necrosis factor (TNF) antagonist drug AND has had a trial of BOTH Humira AND Enbrel. Patient has been tested for TB and latent TB has been ruled out or is being treated. Dosing as per FDA approved labeling.</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cinacalcet</w:t>
      </w:r>
      <w:r>
        <w:rPr/>
        <mc:AlternateContent>
          <mc:Choice Requires="wps">
            <w:drawing>
              <wp:inline>
                <wp:extent cx="6959600" cy="3175"/>
                <wp:docPr id="5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cinacalcet oral tablet</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30 mg, 60 mg, 90 mg</w:t>
      </w:r>
      <w:r>
        <w:rPr/>
        <w:fldChar w:fldCharType="begin"/>
      </w:r>
      <w:r>
        <w:rPr/>
        <w:instrText>XE "cinacalcet oral tablet 30 mg, 60 mg, 90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secondary hyperparathyroidism due to chronic kidney disease on dialysis, Or Hypercalcemia due to parathyroid carcinoma, Or severe hypercalcemia in patients with primary hyperparathyroidism who are unable to undergo parathyroidectomy.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CINRYZE (C1 inhibitor (human))</w:t>
      </w:r>
      <w:r>
        <w:rPr/>
        <mc:AlternateContent>
          <mc:Choice Requires="wps">
            <w:drawing>
              <wp:inline>
                <wp:extent cx="6959600" cy="3175"/>
                <wp:docPr id="5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CINRYZE</w:t>
      </w:r>
      <w:r>
        <w:rPr/>
        <w:fldChar w:fldCharType="begin"/>
      </w:r>
      <w:r>
        <w:rPr/>
        <w:instrText>XE "CINRYZE"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13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prescribed by Dermatologist, Hematologist, or Allergist/Immunologist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clozapine oral disintegrating tablet (FAZACLO)</w:t>
      </w:r>
      <w:r>
        <w:rPr/>
        <mc:AlternateContent>
          <mc:Choice Requires="wps">
            <w:drawing>
              <wp:inline>
                <wp:extent cx="6959600" cy="3175"/>
                <wp:docPr id="5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clozapine oral tablet,disintegrating</w:t>
      </w:r>
      <w:r>
        <w:rPr/>
        <w:fldChar w:fldCharType="begin"/>
      </w:r>
      <w:r>
        <w:rPr/>
        <w:instrText>XE "clozapine oral tablet,disintegrating"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If the patient has any of the following contraindications: agranulocytosis, bone marrow suppression, coma, ileus, leukopenia, myocarditis or neutropenia, OR if the patient has CNS depression, dementia-related psychosis or uncontrolled epilepsy.</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A statement showing the patient is unwilling or unable to take tablets or capsules orally or at high risk for non-compliance AND is not receiving other tablets or capsules indicating that the patient can take non-dissolvable tablets.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Part of a clozapine registry.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COMETRIQ (cabozantinib s-malate)</w:t>
      </w:r>
      <w:r>
        <w:rPr/>
        <mc:AlternateContent>
          <mc:Choice Requires="wps">
            <w:drawing>
              <wp:inline>
                <wp:extent cx="6959600" cy="3175"/>
                <wp:docPr id="5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COMETRIQ</w:t>
      </w:r>
      <w:r>
        <w:rPr/>
        <w:fldChar w:fldCharType="begin"/>
      </w:r>
      <w:r>
        <w:rPr/>
        <w:instrText>XE "COMETRIQ"</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Gastrointestinal perforation. Fistula. Severe hemorrhage.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progressive metastatic, medullary thyroid cancer.</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COPAXONE (glatiramer acetate)</w:t>
      </w:r>
      <w:r>
        <w:rPr/>
        <mc:AlternateContent>
          <mc:Choice Requires="wps">
            <w:drawing>
              <wp:inline>
                <wp:extent cx="6959600" cy="3175"/>
                <wp:docPr id="5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COPAXONE SUBCUTANEOUS SYRINGE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20 MG/ML, 40 MG/ML</w:t>
      </w:r>
      <w:r>
        <w:rPr/>
        <w:fldChar w:fldCharType="begin"/>
      </w:r>
      <w:r>
        <w:rPr/>
        <w:instrText>XE "COPAXONE SUBCUTANEOUS SYRINGE 20 MG/ML, 40 MG/ML"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Treatment of primary progressive MS is not covered. Combination therapy with a beta interferon product, Gilenya, Aubagio, Tecfidera, Tysabri or Copaxone is not covered.</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relapsing-remitting multiple sclerosis OR diagnosis of first clinical episode with MRI features consistent with multiple sclerosis.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By or in consultation with a Neurologist or a Certified MS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Copiktra</w:t>
      </w:r>
      <w:r>
        <w:rPr/>
        <mc:AlternateContent>
          <mc:Choice Requires="wps">
            <w:drawing>
              <wp:inline>
                <wp:extent cx="6959600" cy="3175"/>
                <wp:docPr id="5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COPIKTRA</w:t>
      </w:r>
      <w:r>
        <w:rPr/>
        <w:fldChar w:fldCharType="begin"/>
      </w:r>
      <w:r>
        <w:rPr/>
        <w:instrText>XE "COPIKTRA"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the following: A) relapsed or refractory CLL or SLL after at least two prior therapies OR B)relapsed or refractory FL after at least two prior systemic therapies.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Corlanor </w:t>
      </w:r>
      <w:r>
        <w:rPr/>
        <mc:AlternateContent>
          <mc:Choice Requires="wps">
            <w:drawing>
              <wp:inline>
                <wp:extent cx="6959600" cy="3175"/>
                <wp:docPr id="5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CORLANOR ORAL SOLUTION</w:t>
      </w:r>
      <w:r>
        <w:rPr/>
        <w:fldChar w:fldCharType="begin"/>
      </w:r>
      <w:r>
        <w:rPr/>
        <w:instrText>XE "CORLANOR ORAL SOLUTION"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Must be clinically diagnosed with A) stable, symptomatic chronic heart failure in adults with left ventricular ejection fraction less than or equal to 35% supported by documentation from the patient's medical records, AND have sinus rhythm with resting heart rate greater than or equal to 70 beats per minute, AND be on maximally tolerated doses of beta blockers unless contraindicated, AND be on optimal therapy with standard treatment of ACEI or ARB unless intolerant or contraindicated, AND be on optimal therapy with standard treatment of an aldosterone antagonist unless intolerant or contraindicated, AND documentation of trial and failure of Entresto OR B)stable symptomatic heart failure due to dilated cardiomyopathy (DCM) in pediatric patients aged 6 months and older AND have sinus rhythm with an elevated heart rate.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Cardiologist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Cosentyx</w:t>
      </w:r>
      <w:r>
        <w:rPr/>
        <mc:AlternateContent>
          <mc:Choice Requires="wps">
            <w:drawing>
              <wp:inline>
                <wp:extent cx="6959600" cy="3175"/>
                <wp:docPr id="5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COSENTYX</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COSENTYX (2 SYRINGES)</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COSENTYX PEN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COSENTYX PEN (2 PENS)</w:t>
      </w:r>
      <w:r>
        <w:rPr/>
        <w:fldChar w:fldCharType="begin"/>
      </w:r>
      <w:r>
        <w:rPr/>
        <w:instrText>XE "COSENTYX"</w:instrText>
      </w:r>
      <w:r>
        <w:rPr/>
        <w:fldChar w:fldCharType="end"/>
      </w:r>
      <w:r>
        <w:rPr/>
        <w:fldChar w:fldCharType="begin"/>
      </w:r>
      <w:r>
        <w:rPr/>
        <w:instrText>XE "COSENTYX (2 SYRINGES)"</w:instrText>
      </w:r>
      <w:r>
        <w:rPr/>
        <w:fldChar w:fldCharType="end"/>
      </w:r>
      <w:r>
        <w:rPr/>
        <w:fldChar w:fldCharType="begin"/>
      </w:r>
      <w:r>
        <w:rPr/>
        <w:instrText>XE "COSENTYX PEN"</w:instrText>
      </w:r>
      <w:r>
        <w:rPr/>
        <w:fldChar w:fldCharType="end"/>
      </w:r>
      <w:r>
        <w:rPr/>
        <w:fldChar w:fldCharType="begin"/>
      </w:r>
      <w:r>
        <w:rPr/>
        <w:instrText>XE "COSENTYX PEN (2 PENS)"</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trial and failure of preferred TNF inhibitors (Enbrel and Humira)AND negative Tuberculin test prior to therapy AND patient is free of any clinically important active infections.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Authorization will be for 3 months. Reauthorization will be for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CRESEMBA (isavuconazonium)</w:t>
      </w:r>
      <w:r>
        <w:rPr/>
        <mc:AlternateContent>
          <mc:Choice Requires="wps">
            <w:drawing>
              <wp:inline>
                <wp:extent cx="6959600" cy="3175"/>
                <wp:docPr id="5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CRESEMBA</w:t>
      </w:r>
      <w:r>
        <w:rPr/>
        <w:fldChar w:fldCharType="begin"/>
      </w:r>
      <w:r>
        <w:rPr/>
        <w:instrText>XE "CRESEMBA"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CYCLOSET (bromocriptine mesylate (diabetes))</w:t>
      </w:r>
      <w:r>
        <w:rPr/>
        <mc:AlternateContent>
          <mc:Choice Requires="wps">
            <w:drawing>
              <wp:inline>
                <wp:extent cx="6959600" cy="3175"/>
                <wp:docPr id="5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CYCLOSET</w:t>
      </w:r>
      <w:r>
        <w:rPr/>
        <w:fldChar w:fldCharType="begin"/>
      </w:r>
      <w:r>
        <w:rPr/>
        <w:instrText>XE "CYCLOSET"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type 2 diabetes mellitus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CYSTADANE (betaine)</w:t>
      </w:r>
      <w:r>
        <w:rPr/>
        <mc:AlternateContent>
          <mc:Choice Requires="wps">
            <w:drawing>
              <wp:inline>
                <wp:extent cx="6959600" cy="3175"/>
                <wp:docPr id="6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CYSTADANE</w:t>
      </w:r>
      <w:r>
        <w:rPr/>
        <w:fldChar w:fldCharType="begin"/>
      </w:r>
      <w:r>
        <w:rPr/>
        <w:instrText>XE "CYSTADANE"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CYSTAGON (cysteamine bitartrate)</w:t>
      </w:r>
      <w:r>
        <w:rPr/>
        <mc:AlternateContent>
          <mc:Choice Requires="wps">
            <w:drawing>
              <wp:inline>
                <wp:extent cx="6959600" cy="3175"/>
                <wp:docPr id="6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CYSTAGON</w:t>
      </w:r>
      <w:r>
        <w:rPr/>
        <w:fldChar w:fldCharType="begin"/>
      </w:r>
      <w:r>
        <w:rPr/>
        <w:instrText>XE "CYSTAGON"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Cysteamine is contraindicated in patients who have demonstrated hypersensitivity to cysteamine or penicillamine hypersensitivity.</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Do not administer intact cysteamine capsules to children less than 6 years old because of aspiration risk. Capsules may be administered by sprinkling contents over food.</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CYSTARAN (cysteamine) Ophthalmic Solution</w:t>
      </w:r>
      <w:r>
        <w:rPr/>
        <mc:AlternateContent>
          <mc:Choice Requires="wps">
            <w:drawing>
              <wp:inline>
                <wp:extent cx="6959600" cy="3175"/>
                <wp:docPr id="6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CYSTARAN</w:t>
      </w:r>
      <w:r>
        <w:rPr/>
        <w:fldChar w:fldCharType="begin"/>
      </w:r>
      <w:r>
        <w:rPr/>
        <w:instrText>XE "CYSTARAN"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Daurismo (Glasdegib)</w:t>
      </w:r>
      <w:r>
        <w:rPr/>
        <mc:AlternateContent>
          <mc:Choice Requires="wps">
            <w:drawing>
              <wp:inline>
                <wp:extent cx="6959600" cy="3175"/>
                <wp:docPr id="6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DAURISMO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100 MG, 25 MG</w:t>
      </w:r>
      <w:r>
        <w:rPr/>
        <w:fldChar w:fldCharType="begin"/>
      </w:r>
      <w:r>
        <w:rPr/>
        <w:instrText>XE "DAURISMO ORAL TABLET 100 MG, 25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will be used in combination with low-dose cytarabine for the treatment of newly-diagnosed acute myeloid leukemia (AML), and the patient is A) 75 years of age or older old OR B)has comorbidities that preclude use of intensive induction chemotherapy.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Diacomit (Stiripentol)</w:t>
      </w:r>
      <w:r>
        <w:rPr/>
        <mc:AlternateContent>
          <mc:Choice Requires="wps">
            <w:drawing>
              <wp:inline>
                <wp:extent cx="6959600" cy="3175"/>
                <wp:docPr id="6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DIACOMIT ORAL CAPSULE</w:t>
      </w:r>
      <w:r>
        <w:rPr/>
        <w:fldChar w:fldCharType="begin"/>
      </w:r>
      <w:r>
        <w:rPr/>
        <w:instrText>XE "DIACOMIT ORAL CAPSULE"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is prescribed for the treatment of seizures associated with confirmed diagnosis of Dravet syndrome AND member has been inadequately controlled on clobazam and valproate (unless contraindicated) despite optimized therapy AND the member will be receiving concurrent clobazam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Member is 2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Medication is prescribed by a neurologist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Reauthorization requires documentation of significant decrease in the frequency of seizures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Diclofenac sodium topical gel 3 % (SOLARAZE)</w:t>
      </w:r>
      <w:r>
        <w:rPr/>
        <mc:AlternateContent>
          <mc:Choice Requires="wps">
            <w:drawing>
              <wp:inline>
                <wp:extent cx="6959600" cy="3175"/>
                <wp:docPr id="6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diclofenac sodium topical gel</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3 %</w:t>
      </w:r>
      <w:r>
        <w:rPr/>
        <w:fldChar w:fldCharType="begin"/>
      </w:r>
      <w:r>
        <w:rPr/>
        <w:instrText>XE "diclofenac sodium topical gel 3 %"</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DO NOT use Solaraze in children.</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have failed topical 5-FU cream</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DIFICID (fidaxomicin)</w:t>
      </w:r>
      <w:r>
        <w:rPr/>
        <mc:AlternateContent>
          <mc:Choice Requires="wps">
            <w:drawing>
              <wp:inline>
                <wp:extent cx="6959600" cy="3175"/>
                <wp:docPr id="6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DIFICID</w:t>
      </w:r>
      <w:r>
        <w:rPr/>
        <w:fldChar w:fldCharType="begin"/>
      </w:r>
      <w:r>
        <w:rPr/>
        <w:instrText>XE "DIFICID"</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Clostridium difficile associated diarrhea (CDAD) with one of the following: A) Patient has mild to moderate CDAD and failure, contraindication or intolerance to oral Flagyl (metronidazole) and oral Vancocin (vancomycin), or B) Patient has severe CDAD.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10 Days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Doxercalciferol (HECTOROL)</w:t>
      </w:r>
      <w:r>
        <w:rPr/>
        <mc:AlternateContent>
          <mc:Choice Requires="wps">
            <w:drawing>
              <wp:inline>
                <wp:extent cx="6959600" cy="3175"/>
                <wp:docPr id="6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doxercalciferol oral</w:t>
      </w:r>
      <w:r>
        <w:rPr/>
        <w:fldChar w:fldCharType="begin"/>
      </w:r>
      <w:r>
        <w:rPr/>
        <w:instrText>XE "doxercalciferol oral"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Doxorubicin</w:t>
      </w:r>
      <w:r>
        <w:rPr/>
        <mc:AlternateContent>
          <mc:Choice Requires="wps">
            <w:drawing>
              <wp:inline>
                <wp:extent cx="6959600" cy="3175"/>
                <wp:docPr id="6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DOXORUBICIN INTRAVENOUS SOLUTION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 MG/ML</w:t>
      </w:r>
      <w:r>
        <w:rPr/>
        <w:fldChar w:fldCharType="begin"/>
      </w:r>
      <w:r>
        <w:rPr/>
        <w:instrText>XE "DOXORUBICIN INTRAVENOUS SOLUTION 2 MG/ML"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DRONABINOL (MARINOL)</w:t>
      </w:r>
      <w:r>
        <w:rPr/>
        <mc:AlternateContent>
          <mc:Choice Requires="wps">
            <w:drawing>
              <wp:inline>
                <wp:extent cx="6959600" cy="3175"/>
                <wp:docPr id="6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dronabinol oral capsule</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10 mg, 2.5 mg, 5 mg</w:t>
      </w:r>
      <w:r>
        <w:rPr/>
        <w:fldChar w:fldCharType="begin"/>
      </w:r>
      <w:r>
        <w:rPr/>
        <w:instrText>XE "dronabinol oral capsule 10 mg, 2.5 mg, 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Any pertinent clinical situation as defined by the product label that could affect patient safety and/or therapeutic efficacy (i.e. contraindications, warnings, precautions, adverse effects, renal or hepatic function, drug interactions, lab values, required prior or concomitant therapy, inappropriate dosing and/or duration, etc).</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For treatment of chemotherapy-induced nausea or vomiting refractory to conventional antiemetic agents: 1. Patient is receiving cancer chemotherapy, AND 2. Failure to preferred 5HT-3 receptor antagonist. preferred agents include ondansetron or granisetron, AND 3. Failure to one of the following agents: a. Antihistamine b. Corticosteroid c. Prokinetic agent d. Antipsychotic. For treatment of anorexia associated with weight loss in patients with HIV: documentation of trial and failure, contraindication, or intolerance to megestrol.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old and greater for the treatment of anorexia associated with weight loss in patients with HIV</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Dupixent</w:t>
      </w:r>
      <w:r>
        <w:rPr/>
        <mc:AlternateContent>
          <mc:Choice Requires="wps">
            <w:drawing>
              <wp:inline>
                <wp:extent cx="6959600" cy="3175"/>
                <wp:docPr id="7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DUPIXENT</w:t>
      </w:r>
      <w:r>
        <w:rPr/>
        <w:fldChar w:fldCharType="begin"/>
      </w:r>
      <w:r>
        <w:rPr/>
        <w:instrText>XE "DUPIXENT"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Patient must have the following: A) Moderate-to-severe atopic dermatitis (eczema)AND submission of medical records (e.g. chart notes, laboratory values) documenting the following: Inadequate response, intolerance or contraindication to ONE medication in EACH of the following categories:a. Topical calcineurin inhibitor b. High potency topical corticosteroid. OR B) Moderate-to-severe asthma AND submission of medical records documenting the following: 1. Patient has ONE of the following: a. Asthma with eosinophilic phenotype with eosinophil count greater than or equal to 300 cells/mcL in the past 12 months, or b. Oral corticosteroid dependent asthma with at least 1 month of daily oral corticosteroid use within the last 3 months AND 2. Inadequate control of asthma symptoms after a minimum of 3 months of compliant use of one of the following: a. Inhaled corticosteroids &amp; long acting beta2 agonist, or b. Inhaled corticosteroids &amp; long acting muscarinic antagonist. OR C)Chronic rhinosinusitis with nasal polyposis (CRSwNP)AND submission of medical records (e.g. chart notes, laboratory values) documenting the following: Inadequate response, intolerance or contraindication to ONE medication in EACH of the following categories: 1. Inadequate response, intolerance or contraindication to ONE medication in EACH of the following categories: a. Nasal corticosteroid spray and b. Oral corticosteroid.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Dermatologist or allergist/immunologist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Authorization will be for 3 months. Reauthorization will be for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Renewals require submission of medical records (e.g. chart notes, laboratory values) documenting improvement of the condition. </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EDECRIN (Ethacrynic Acid)</w:t>
      </w:r>
      <w:r>
        <w:rPr/>
        <mc:AlternateContent>
          <mc:Choice Requires="wps">
            <w:drawing>
              <wp:inline>
                <wp:extent cx="6959600" cy="3175"/>
                <wp:docPr id="7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EDECRIN</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ethacrynic acid</w:t>
      </w:r>
      <w:r>
        <w:rPr/>
        <w:fldChar w:fldCharType="begin"/>
      </w:r>
      <w:r>
        <w:rPr/>
        <w:instrText>XE "EDECRIN"</w:instrText>
      </w:r>
      <w:r>
        <w:rPr/>
        <w:fldChar w:fldCharType="end"/>
      </w:r>
      <w:r>
        <w:rPr/>
        <w:fldChar w:fldCharType="begin"/>
      </w:r>
      <w:r>
        <w:rPr/>
        <w:instrText>XE "ethacrynic acid"</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Use for pediatrics 12 months and younger</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13 months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have documented failure, intolerance or contraindication to at least 2 other loop diuretics.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Elzonris</w:t>
      </w:r>
      <w:r>
        <w:rPr/>
        <mc:AlternateContent>
          <mc:Choice Requires="wps">
            <w:drawing>
              <wp:inline>
                <wp:extent cx="6959600" cy="3175"/>
                <wp:docPr id="7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ELZONRIS</w:t>
      </w:r>
      <w:r>
        <w:rPr/>
        <w:fldChar w:fldCharType="begin"/>
      </w:r>
      <w:r>
        <w:rPr/>
        <w:instrText>XE "ELZONRIS"</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Patient must have a definitive diagnosis of Blastic Plasmacytoid Dendritic Cell Neoplasm (BPDCN) AND Patient has CD123 positive expressing disease AND Patient has a baseline serum albumin level of at least 3.2 g per dL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is 2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EMCYT (Estramustine Phosphate Sodium)</w:t>
      </w:r>
      <w:r>
        <w:rPr/>
        <mc:AlternateContent>
          <mc:Choice Requires="wps">
            <w:drawing>
              <wp:inline>
                <wp:extent cx="6959600" cy="3175"/>
                <wp:docPr id="7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EMCYT</w:t>
      </w:r>
      <w:r>
        <w:rPr/>
        <w:fldChar w:fldCharType="begin"/>
      </w:r>
      <w:r>
        <w:rPr/>
        <w:instrText>XE "EMCYT"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metastatic and/or progressive prostate cancer.</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prescriber</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EMEND (Aprepitant)</w:t>
      </w:r>
      <w:r>
        <w:rPr/>
        <mc:AlternateContent>
          <mc:Choice Requires="wps">
            <w:drawing>
              <wp:inline>
                <wp:extent cx="6959600" cy="3175"/>
                <wp:docPr id="7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aprepitant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EMEND ORAL CAPSULE,DOSE PACK</w:t>
      </w:r>
      <w:r>
        <w:rPr/>
        <w:fldChar w:fldCharType="begin"/>
      </w:r>
      <w:r>
        <w:rPr/>
        <w:instrText>XE "aprepitant"</w:instrText>
      </w:r>
      <w:r>
        <w:rPr/>
        <w:fldChar w:fldCharType="end"/>
      </w:r>
      <w:r>
        <w:rPr/>
        <w:fldChar w:fldCharType="begin"/>
      </w:r>
      <w:r>
        <w:rPr/>
        <w:instrText>XE "EMEND ORAL CAPSULE,DOSE PACK"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EMSAM (Selegiline)</w:t>
      </w:r>
      <w:r>
        <w:rPr/>
        <mc:AlternateContent>
          <mc:Choice Requires="wps">
            <w:drawing>
              <wp:inline>
                <wp:extent cx="6959600" cy="3175"/>
                <wp:docPr id="7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EMSAM</w:t>
      </w:r>
      <w:r>
        <w:rPr/>
        <w:fldChar w:fldCharType="begin"/>
      </w:r>
      <w:r>
        <w:rPr/>
        <w:instrText>XE "EMSAM"</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Pheochromocytoma. Patient is taking or will take any of the following: SSRIs, SNRIs, tricyclic antidepressants (TCAs), bupropion, buspirone, meperidine, tramadol, methadone, pentazocine, dextromethorphan, St. John's wort, mirtazapine, cyclobenzaprine, oral selegiline, other MAOIs, oxcarbazepine, carbamazepine, and/or sympathomimetic amines.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major depressive disorder, AND 1) Failure of at least two generic oral antidepressants from different classes(at least one should be from the following list: selective serotonin reuptake inhibitors, serotonin and norepinephrine reuptake inhibitors, mirtazapine, or bupropion unless contraindicated), AND 2) Patient had an adequate washout period (for patients previously on agents requiring a washout period)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ENBREL (Etanercept)</w:t>
      </w:r>
      <w:r>
        <w:rPr/>
        <mc:AlternateContent>
          <mc:Choice Requires="wps">
            <w:drawing>
              <wp:inline>
                <wp:extent cx="6959600" cy="3175"/>
                <wp:docPr id="7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ENBREL SUBCUTANEOUS RECON SOLN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ENBREL SUBCUTANEOUS SYRINGE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25 MG/0.5 ML (0.5), 50 MG/ML (1 ML)</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ENBREL SURECLICK</w:t>
      </w:r>
      <w:r>
        <w:rPr/>
        <w:fldChar w:fldCharType="begin"/>
      </w:r>
      <w:r>
        <w:rPr/>
        <w:instrText>XE "ENBREL SUBCUTANEOUS RECON SOLN"</w:instrText>
      </w:r>
      <w:r>
        <w:rPr/>
        <w:fldChar w:fldCharType="end"/>
      </w:r>
      <w:r>
        <w:rPr/>
        <w:fldChar w:fldCharType="begin"/>
      </w:r>
      <w:r>
        <w:rPr/>
        <w:instrText>XE "ENBREL SUBCUTANEOUS SYRINGE 25 MG/0.5 ML (0.5), 50 MG/ML (1 ML)"</w:instrText>
      </w:r>
      <w:r>
        <w:rPr/>
        <w:fldChar w:fldCharType="end"/>
      </w:r>
      <w:r>
        <w:rPr/>
        <w:fldChar w:fldCharType="begin"/>
      </w:r>
      <w:r>
        <w:rPr/>
        <w:instrText>XE "ENBREL SURECLICK"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Tuberculosis (TB), or invasive fungal infections or other active seriousinfections, or history if recurrent infections. Individuals who have not had a tuberculin skin test or Center for Disease Control recommended equivalent to evaluate for latent tuberculosis prior to initiating therapy. Using in combination with other TNF antagonists,IL-1R antagonists, janus kinase inhibitor, anti-cd20 monoclonalantibodies or selective co-stimulation modulators.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treatment history and TB evaluation. FDA-approved indications include: Ankylosing Spondylitis (AS), Polyarticular Juvenile Idiopathic Arthritis (PJIA), Plaque Psoriasis, Psoriatic Arthritis  (PsA), Rheumatoid Arthritis (RA).</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2 years of age or older for JIA. 18 years of age or older for all other indications.</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Rheumatologist (RA, PJIA, PsA, AS), Dermatologist for Plaque Psoriasis</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for AS if patient has had an inadequate response, intolerance or contraindication to one or more NSAIDs (e.g. ibuprofen, naproxen, meloxicam, celecoxib). APPROVE for PJIA if patient has has an inadequate response, intolerance or contraindication to one or more non-biologic disease modifying anti-rheumatic drugs (DMARDs) (e.g., hydroxychloroquine [HCQ], sulfasalazine, methotrexate [MTX], leflunomide, azathioprine, cyclosporine) for at least 3 consecutive months. APPROVE for Plaque Psoriasis (affecting more than 5% of body surface area or affecting crucial body areas such as the hands, feet, face, or genitals) if patient has had an inadequate response, intolerance or contraindication to conventional therapy with to at least two of the following: phototherapy (including but not limited to Ultraviolet A with a psoralen [PUVA] and/or retinoids [RePUVA] for at least one continuous month or one or more oral systemic treatments (e.g. MTX, cyclosporine, acitretin, sulfasalazine) for at least 3 consecutive months. APPROVE for PsA if patient has had an inadequate response, intolerance, or contraindication to MTX. APPROVE for RA if patient has had inadequate response to, intolerance to, or contraindication to at least one non-biologic disease modifying anti-rheumatic drugs (DMARD) Patient has been tested for TB and latent TB has been ruled out or is being treated. Dosing as per FDA approved labeling.(e.g., HCQ, sulfasalazine, MTX, leflunomide, azathioprine, cyclosporine) for at least 3 consecutive months. </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Endari (Glutamine Powder)</w:t>
      </w:r>
      <w:r>
        <w:rPr/>
        <mc:AlternateContent>
          <mc:Choice Requires="wps">
            <w:drawing>
              <wp:inline>
                <wp:extent cx="6959600" cy="3175"/>
                <wp:docPr id="7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ENDARI</w:t>
      </w:r>
      <w:r>
        <w:rPr/>
        <w:fldChar w:fldCharType="begin"/>
      </w:r>
      <w:r>
        <w:rPr/>
        <w:instrText>XE "ENDARI"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sickle cell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5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ENTRESTO (SACUBITRIL/valsartan)</w:t>
      </w:r>
      <w:r>
        <w:rPr/>
        <mc:AlternateContent>
          <mc:Choice Requires="wps">
            <w:drawing>
              <wp:inline>
                <wp:extent cx="6959600" cy="3175"/>
                <wp:docPr id="7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ENTRESTO</w:t>
      </w:r>
      <w:r>
        <w:rPr/>
        <w:fldChar w:fldCharType="begin"/>
      </w:r>
      <w:r>
        <w:rPr/>
        <w:instrText>XE "ENTRESTO"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Use of Entresto with an Angiotensin Converting Enzyme (ACE) Inhibitor or an ACE Inhibitor-Containing Product.  Use of Entresto with an Angiotensin II Receptor Blocker (ARB) or an ARB-Containing Product.  Use of Entresto with Tekturna® (aliskiren tablets) or a Tekturna-Containing Product in patients with diabetes.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FDA-approved indication for treatment AND the patient has a left ventricular ejection fraction (LVEF) less than or equal to 40% prior to initiation of Entresto.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 </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Cardiologist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EPCLUSA (sofosbuvir/velpatasvir)</w:t>
      </w:r>
      <w:r>
        <w:rPr/>
        <mc:AlternateContent>
          <mc:Choice Requires="wps">
            <w:drawing>
              <wp:inline>
                <wp:extent cx="6959600" cy="3175"/>
                <wp:docPr id="7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EPCLUSA</w:t>
      </w:r>
      <w:r>
        <w:rPr/>
        <w:fldChar w:fldCharType="begin"/>
      </w:r>
      <w:r>
        <w:rPr/>
        <w:instrText>XE "EPCLUSA"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Current alcohol, drug use or reinfection after 3 months of successful treatment. Alcohol urine metabolite and drug screen required.</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Provider must submit medical records documenting the diagnosis of chronic hepatitis C with genotype and subtype, if applicable (i.e., genotypes 1, 2, 3, 4, 5, or 6) AND submit medical records documenting viral load taken within 6 months of beginning therapy, AND submit medical records documenting F2-F4 fibrosis with a fibrosis score of 0.48 and up or be a documented health Care worker in direct patient care setting.</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a gastroenterologist, hepatologist, or infectious disease physician.</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weeks or as defined by current AASLD/IDSA guidance.</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Mavyret, generic Ledipasvir/Sofosbuvir, or generic Sofosbuvir/Velpatasvir must be tried first in patients with chronic hepatitis C. Criteria and coverage durations will be applied consistent with current AASLD/IDSA guidance. Must have contraindication to or be unable to tolerate Mavyret, generic Ledipasvir/Sofosbuvir, and generic Sofosbuvir/Velpatasvir.</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Epidiolex (Cannabidiol)</w:t>
      </w:r>
      <w:r>
        <w:rPr/>
        <mc:AlternateContent>
          <mc:Choice Requires="wps">
            <w:drawing>
              <wp:inline>
                <wp:extent cx="6959600" cy="3175"/>
                <wp:docPr id="8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EPIDIOLEX</w:t>
      </w:r>
      <w:r>
        <w:rPr/>
        <w:fldChar w:fldCharType="begin"/>
      </w:r>
      <w:r>
        <w:rPr/>
        <w:instrText>XE "EPIDIOLEX"</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the following A) diagnosis of seizures associated with Lennox-Gastaut syndrome (LGS)or seizures associated with Dravet syndrome (DS): AND B) normal serum transaminases (ALT and AST) and total bilirubin levels: AND C) inadequate treatment response, intolerance, or contraindication to TWO generic antiepileptic medications (i.e. clobazam, Valproic acid, Lamotrigine, Levetiracetam, Topiramate, etc.)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2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Dosing is within the FDA labeled dose of up to 20mg/kg/day.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ERIVEDGE (Vismodegib)</w:t>
      </w:r>
      <w:r>
        <w:rPr/>
        <mc:AlternateContent>
          <mc:Choice Requires="wps">
            <w:drawing>
              <wp:inline>
                <wp:extent cx="6959600" cy="3175"/>
                <wp:docPr id="8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ERIVEDGE</w:t>
      </w:r>
      <w:r>
        <w:rPr/>
        <w:fldChar w:fldCharType="begin"/>
      </w:r>
      <w:r>
        <w:rPr/>
        <w:instrText>XE "ERIVEDGE"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metastatic basal cell carcinoma OR Diagnosis of locally advanced basal cell carcinoma that has recurred following surgery or when the patient is not a candidate for surgery and radiation.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Erleada</w:t>
      </w:r>
      <w:r>
        <w:rPr/>
        <mc:AlternateContent>
          <mc:Choice Requires="wps">
            <w:drawing>
              <wp:inline>
                <wp:extent cx="6959600" cy="3175"/>
                <wp:docPr id="8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ERLEADA</w:t>
      </w:r>
      <w:r>
        <w:rPr/>
        <w:fldChar w:fldCharType="begin"/>
      </w:r>
      <w:r>
        <w:rPr/>
        <w:instrText>XE "ERLEADA"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non-metastatic, castration-resistant prostate cancer (NM-CRPC).</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ERTACZO (Sertaconazole Nitrate)</w:t>
      </w:r>
      <w:r>
        <w:rPr/>
        <mc:AlternateContent>
          <mc:Choice Requires="wps">
            <w:drawing>
              <wp:inline>
                <wp:extent cx="6959600" cy="3175"/>
                <wp:docPr id="8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ERTACZO</w:t>
      </w:r>
      <w:r>
        <w:rPr/>
        <w:fldChar w:fldCharType="begin"/>
      </w:r>
      <w:r>
        <w:rPr/>
        <w:instrText>XE "ERTACZO"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12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4 weeks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Failure to generic topical antifungal medications.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ESBRIET</w:t>
      </w:r>
      <w:r>
        <w:rPr/>
        <mc:AlternateContent>
          <mc:Choice Requires="wps">
            <w:drawing>
              <wp:inline>
                <wp:extent cx="6959600" cy="3175"/>
                <wp:docPr id="8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ESBRIET</w:t>
      </w:r>
      <w:r>
        <w:rPr/>
        <w:fldChar w:fldCharType="begin"/>
      </w:r>
      <w:r>
        <w:rPr/>
        <w:instrText>XE "ESBRIET"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The patient has a diagnosis of idiopathic pulmonary fibrosis confirmed by a high resolution CT scan or biopsy AND the patient does not have evidence or suspicion of an alternative interstitial lung disease diagnosis AND liver function tests have been performed prior to start of therapy and base line PFTs provided.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a pulmonologist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patient experienced stabilization from baseline or a less than 10 percent decline in force vital capacity AND the patient has not experienced AST or ALT elevations greater than 5 times the upper limit of normal or greater than 3 times the upper limit of normal with signs or symptoms of severe liver damage.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Etoposide</w:t>
      </w:r>
      <w:r>
        <w:rPr/>
        <mc:AlternateContent>
          <mc:Choice Requires="wps">
            <w:drawing>
              <wp:inline>
                <wp:extent cx="6959600" cy="3175"/>
                <wp:docPr id="8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etoposide intravenous</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TOPOSAR</w:t>
      </w:r>
      <w:r>
        <w:rPr/>
        <w:fldChar w:fldCharType="begin"/>
      </w:r>
      <w:r>
        <w:rPr/>
        <w:instrText>XE "etoposide intravenous"</w:instrText>
      </w:r>
      <w:r>
        <w:rPr/>
        <w:fldChar w:fldCharType="end"/>
      </w:r>
      <w:r>
        <w:rPr/>
        <w:fldChar w:fldCharType="begin"/>
      </w:r>
      <w:r>
        <w:rPr/>
        <w:instrText>XE "TOPOSAR"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Evenity (Romosozumab)</w:t>
      </w:r>
      <w:r>
        <w:rPr/>
        <mc:AlternateContent>
          <mc:Choice Requires="wps">
            <w:drawing>
              <wp:inline>
                <wp:extent cx="6959600" cy="3175"/>
                <wp:docPr id="8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EVENITY</w:t>
      </w:r>
      <w:r>
        <w:rPr/>
        <w:fldChar w:fldCharType="begin"/>
      </w:r>
      <w:r>
        <w:rPr/>
        <w:instrText>XE "EVENITY"</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Osteoporosis in a postmenopausal female AND one or more of the following: 1) History of osteoporotic fracture, or 2) Documented trial and failure of bisphosphonate or 3) Documented contraindication or intolerance to bisphosphonate therapy. Patient has not received more than 1 year of therapy with Evenity.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EviCore Medications</w:t>
      </w:r>
      <w:r>
        <w:rPr/>
        <mc:AlternateContent>
          <mc:Choice Requires="wps">
            <w:drawing>
              <wp:inline>
                <wp:extent cx="6959600" cy="3175"/>
                <wp:docPr id="8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AKYNZEO (NETUPITANT)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ALECENSA</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ALUNBRIG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180 MG, 30 MG, 90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ALUNBRIG ORAL TABLETS,DOSE PACK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CABOMETYX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20 MG, 40 MG, 60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COTELLIC</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GLEOSTINE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 100 MG, 40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HYCAMTIN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IDAMYCIN PFS</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LONSURF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15-6.14 MG, 20-8.19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NINLARO</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ROZLYTREK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100 MG, 200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RUBRACA</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RYDAPT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SANCUSO</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TAGRISSO</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VALCHLOR</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VENCLEXTA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 100 MG, 50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VENCLEXTA STARTING PACK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XERMELO</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ZEJULA</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ZELBORAF</w:t>
      </w:r>
      <w:r>
        <w:rPr/>
        <w:fldChar w:fldCharType="begin"/>
      </w:r>
      <w:r>
        <w:rPr/>
        <w:instrText>XE "AKYNZEO (NETUPITANT)"</w:instrText>
      </w:r>
      <w:r>
        <w:rPr/>
        <w:fldChar w:fldCharType="end"/>
      </w:r>
      <w:r>
        <w:rPr/>
        <w:fldChar w:fldCharType="begin"/>
      </w:r>
      <w:r>
        <w:rPr/>
        <w:instrText>XE "ALECENSA"</w:instrText>
      </w:r>
      <w:r>
        <w:rPr/>
        <w:fldChar w:fldCharType="end"/>
      </w:r>
      <w:r>
        <w:rPr/>
        <w:fldChar w:fldCharType="begin"/>
      </w:r>
      <w:r>
        <w:rPr/>
        <w:instrText>XE "ALUNBRIG ORAL TABLET 180 MG, 30 MG, 90 MG"</w:instrText>
      </w:r>
      <w:r>
        <w:rPr/>
        <w:fldChar w:fldCharType="end"/>
      </w:r>
      <w:r>
        <w:rPr/>
        <w:fldChar w:fldCharType="begin"/>
      </w:r>
      <w:r>
        <w:rPr/>
        <w:instrText>XE "ALUNBRIG ORAL TABLETS,DOSE PACK"</w:instrText>
      </w:r>
      <w:r>
        <w:rPr/>
        <w:fldChar w:fldCharType="end"/>
      </w:r>
      <w:r>
        <w:rPr/>
        <w:fldChar w:fldCharType="begin"/>
      </w:r>
      <w:r>
        <w:rPr/>
        <w:instrText>XE "CABOMETYX ORAL TABLET 20 MG, 40 MG, 60 MG"</w:instrText>
      </w:r>
      <w:r>
        <w:rPr/>
        <w:fldChar w:fldCharType="end"/>
      </w:r>
      <w:r>
        <w:rPr/>
        <w:fldChar w:fldCharType="begin"/>
      </w:r>
      <w:r>
        <w:rPr/>
        <w:instrText>XE "COTELLIC"</w:instrText>
      </w:r>
      <w:r>
        <w:rPr/>
        <w:fldChar w:fldCharType="end"/>
      </w:r>
      <w:r>
        <w:rPr/>
        <w:fldChar w:fldCharType="begin"/>
      </w:r>
      <w:r>
        <w:rPr/>
        <w:instrText>XE "GLEOSTINE ORAL CAPSULE 10 MG, 100 MG, 40 MG"</w:instrText>
      </w:r>
      <w:r>
        <w:rPr/>
        <w:fldChar w:fldCharType="end"/>
      </w:r>
      <w:r>
        <w:rPr/>
        <w:fldChar w:fldCharType="begin"/>
      </w:r>
      <w:r>
        <w:rPr/>
        <w:instrText>XE "HYCAMTIN"</w:instrText>
      </w:r>
      <w:r>
        <w:rPr/>
        <w:fldChar w:fldCharType="end"/>
      </w:r>
      <w:r>
        <w:rPr/>
        <w:fldChar w:fldCharType="begin"/>
      </w:r>
      <w:r>
        <w:rPr/>
        <w:instrText>XE "IDAMYCIN PFS"</w:instrText>
      </w:r>
      <w:r>
        <w:rPr/>
        <w:fldChar w:fldCharType="end"/>
      </w:r>
      <w:r>
        <w:rPr/>
        <w:fldChar w:fldCharType="begin"/>
      </w:r>
      <w:r>
        <w:rPr/>
        <w:instrText>XE "LONSURF ORAL TABLET 15-6.14 MG, 20-8.19 MG"</w:instrText>
      </w:r>
      <w:r>
        <w:rPr/>
        <w:fldChar w:fldCharType="end"/>
      </w:r>
      <w:r>
        <w:rPr/>
        <w:fldChar w:fldCharType="begin"/>
      </w:r>
      <w:r>
        <w:rPr/>
        <w:instrText>XE "NINLARO"</w:instrText>
      </w:r>
      <w:r>
        <w:rPr/>
        <w:fldChar w:fldCharType="end"/>
      </w:r>
      <w:r>
        <w:rPr/>
        <w:fldChar w:fldCharType="begin"/>
      </w:r>
      <w:r>
        <w:rPr/>
        <w:instrText>XE "ROZLYTREK ORAL CAPSULE 100 MG, 200 MG"</w:instrText>
      </w:r>
      <w:r>
        <w:rPr/>
        <w:fldChar w:fldCharType="end"/>
      </w:r>
      <w:r>
        <w:rPr/>
        <w:fldChar w:fldCharType="begin"/>
      </w:r>
      <w:r>
        <w:rPr/>
        <w:instrText>XE "RUBRACA"</w:instrText>
      </w:r>
      <w:r>
        <w:rPr/>
        <w:fldChar w:fldCharType="end"/>
      </w:r>
      <w:r>
        <w:rPr/>
        <w:fldChar w:fldCharType="begin"/>
      </w:r>
      <w:r>
        <w:rPr/>
        <w:instrText>XE "RYDAPT"</w:instrText>
      </w:r>
      <w:r>
        <w:rPr/>
        <w:fldChar w:fldCharType="end"/>
      </w:r>
      <w:r>
        <w:rPr/>
        <w:fldChar w:fldCharType="begin"/>
      </w:r>
      <w:r>
        <w:rPr/>
        <w:instrText>XE "SANCUSO"</w:instrText>
      </w:r>
      <w:r>
        <w:rPr/>
        <w:fldChar w:fldCharType="end"/>
      </w:r>
      <w:r>
        <w:rPr/>
        <w:fldChar w:fldCharType="begin"/>
      </w:r>
      <w:r>
        <w:rPr/>
        <w:instrText>XE "TAGRISSO"</w:instrText>
      </w:r>
      <w:r>
        <w:rPr/>
        <w:fldChar w:fldCharType="end"/>
      </w:r>
      <w:r>
        <w:rPr/>
        <w:fldChar w:fldCharType="begin"/>
      </w:r>
      <w:r>
        <w:rPr/>
        <w:instrText>XE "VALCHLOR"</w:instrText>
      </w:r>
      <w:r>
        <w:rPr/>
        <w:fldChar w:fldCharType="end"/>
      </w:r>
      <w:r>
        <w:rPr/>
        <w:fldChar w:fldCharType="begin"/>
      </w:r>
      <w:r>
        <w:rPr/>
        <w:instrText>XE "VENCLEXTA ORAL TABLET 10 MG, 100 MG, 50 MG"</w:instrText>
      </w:r>
      <w:r>
        <w:rPr/>
        <w:fldChar w:fldCharType="end"/>
      </w:r>
      <w:r>
        <w:rPr/>
        <w:fldChar w:fldCharType="begin"/>
      </w:r>
      <w:r>
        <w:rPr/>
        <w:instrText>XE "VENCLEXTA STARTING PACK"</w:instrText>
      </w:r>
      <w:r>
        <w:rPr/>
        <w:fldChar w:fldCharType="end"/>
      </w:r>
      <w:r>
        <w:rPr/>
        <w:fldChar w:fldCharType="begin"/>
      </w:r>
      <w:r>
        <w:rPr/>
        <w:instrText>XE "XERMELO"</w:instrText>
      </w:r>
      <w:r>
        <w:rPr/>
        <w:fldChar w:fldCharType="end"/>
      </w:r>
      <w:r>
        <w:rPr/>
        <w:fldChar w:fldCharType="begin"/>
      </w:r>
      <w:r>
        <w:rPr/>
        <w:instrText>XE "ZEJULA"</w:instrText>
      </w:r>
      <w:r>
        <w:rPr/>
        <w:fldChar w:fldCharType="end"/>
      </w:r>
      <w:r>
        <w:rPr/>
        <w:fldChar w:fldCharType="begin"/>
      </w:r>
      <w:r>
        <w:rPr/>
        <w:instrText>XE "ZELBORAF"</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would be used for an FDA approved indication.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FANAPT (Iloperidone)</w:t>
      </w:r>
      <w:r>
        <w:rPr/>
        <mc:AlternateContent>
          <mc:Choice Requires="wps">
            <w:drawing>
              <wp:inline>
                <wp:extent cx="6959600" cy="3175"/>
                <wp:docPr id="8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FANAPT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FANAPT ORAL TABLETS,DOSE PACK</w:t>
      </w:r>
      <w:r>
        <w:rPr/>
        <w:fldChar w:fldCharType="begin"/>
      </w:r>
      <w:r>
        <w:rPr/>
        <w:instrText>XE "FANAPT ORAL TABLET"</w:instrText>
      </w:r>
      <w:r>
        <w:rPr/>
        <w:fldChar w:fldCharType="end"/>
      </w:r>
      <w:r>
        <w:rPr/>
        <w:fldChar w:fldCharType="begin"/>
      </w:r>
      <w:r>
        <w:rPr/>
        <w:instrText>XE "FANAPT ORAL TABLETS,DOSE PACK"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if member has tried two following drugs: aripiprazole, clozapine, olanzapine, risperidone, quetiapine, ziprasidone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FARYDAK (Panobinostat Lactate)</w:t>
      </w:r>
      <w:r>
        <w:rPr/>
        <mc:AlternateContent>
          <mc:Choice Requires="wps">
            <w:drawing>
              <wp:inline>
                <wp:extent cx="6959600" cy="3175"/>
                <wp:docPr id="8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FARYDAK</w:t>
      </w:r>
      <w:r>
        <w:rPr/>
        <w:fldChar w:fldCharType="begin"/>
      </w:r>
      <w:r>
        <w:rPr/>
        <w:instrText>XE "FARYDAK"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Fasenra </w:t>
      </w:r>
      <w:r>
        <w:rPr/>
        <mc:AlternateContent>
          <mc:Choice Requires="wps">
            <w:drawing>
              <wp:inline>
                <wp:extent cx="6959600" cy="3175"/>
                <wp:docPr id="9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FASENRA PEN</w:t>
      </w:r>
      <w:r>
        <w:rPr/>
        <w:fldChar w:fldCharType="begin"/>
      </w:r>
      <w:r>
        <w:rPr/>
        <w:instrText>XE "FASENRA PEN"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patient has asthma with an eosinophilic phenotype defined as blood eosinophils greater than or equal to 300 cells/µL within previous 12 months or greater than or equal to 150 cells/µL within 6 weeks of dosing AND medication will be used in combination with a corticosteroid inhaler and long acting beta2-agonist AND Patient must have experienced two or more exacerbations in the previous year OR require daily oral corticosteroids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Fentanyl Citrate (ACTIQ)</w:t>
      </w:r>
      <w:r>
        <w:rPr/>
        <mc:AlternateContent>
          <mc:Choice Requires="wps">
            <w:drawing>
              <wp:inline>
                <wp:extent cx="6959600" cy="3175"/>
                <wp:docPr id="9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fentanyl citrate buccal lozenge on a handle</w:t>
      </w:r>
      <w:r>
        <w:rPr/>
        <w:fldChar w:fldCharType="begin"/>
      </w:r>
      <w:r>
        <w:rPr/>
        <w:instrText>XE "fentanyl citrate buccal lozenge on a handle"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Coverage not provided in the management of acute or postoperative pain (including headache/migraines), opiod non-tolerant patients, patients with known intolerance or hypersensitivity to the drug or fentanyl.</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cancer AND 1. Use is for breakthrough cancer pain, AND 2. Patient is opioid tolerant and taking at least 60 mg morphine/day, at least 25 mcg transdermal fentanyl/hour, at least 30 mg of oxycodone daily, at least 8 mg oral hydromorphone daily or an equianalgesic dose of another opioid for a week or longer, AND 3. Other formulary short-acting strong narcotic analgesic alternatives (other than fentanyl) have been ineffective, not tolerated, or contraindicated, AND 4. Prescriber is registered in the Transmucosal Immediate Release Fentanyl (TIRF) Risk Evaluation and Mitigation Strategy Access program.</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16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an oncologist or pain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Patient must have tried and failed or not responded to the following formulary short-acting narcotics, Oxycodone and morphine. Available only to those enrolled in the Transmucosal Immediate Release Fentanyl (TIRF) EMS Program.</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FERRIPROX (Deferiprone)</w:t>
      </w:r>
      <w:r>
        <w:rPr/>
        <mc:AlternateContent>
          <mc:Choice Requires="wps">
            <w:drawing>
              <wp:inline>
                <wp:extent cx="6959600" cy="3175"/>
                <wp:docPr id="9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FERRIPROX ORAL SOLUTION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FERRIPROX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500 MG</w:t>
      </w:r>
      <w:r>
        <w:rPr/>
        <w:fldChar w:fldCharType="begin"/>
      </w:r>
      <w:r>
        <w:rPr/>
        <w:instrText>XE "FERRIPROX ORAL SOLUTION"</w:instrText>
      </w:r>
      <w:r>
        <w:rPr/>
        <w:fldChar w:fldCharType="end"/>
      </w:r>
      <w:r>
        <w:rPr/>
        <w:fldChar w:fldCharType="begin"/>
      </w:r>
      <w:r>
        <w:rPr/>
        <w:instrText>XE "FERRIPROX ORAL TABLET 500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Any pertinent clinical situation as defined by the product label that could affect patient safety and/or therapeutic efficacy (i.e. contraindications, warnings, precautions, adverse effects, renal or hepatic function, drug interactions, lab values, required prior or concomitant therapy, inappropriate dosing and/or duration, etc).</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transfusional iron overload due to thalassemia syndromes AND patient has failed prior chelation therapy with Desferal or Exjade (failure is defined as a serum ferritin level greater than 2,500 mcg/L) or patient has a contraindication or intolerance to Desferal or Exjade AND Patient has an absolute neutrophil count greater than 1.5 x 109/L.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 hematologist/oncologist or hepatologist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patient has experienced at least a 20% reduction in serum ferritin levels and has an absolute neutrophil count greater than 0.5 x 109/L</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FETZIMA (levomilnacipran)</w:t>
      </w:r>
      <w:r>
        <w:rPr/>
        <mc:AlternateContent>
          <mc:Choice Requires="wps">
            <w:drawing>
              <wp:inline>
                <wp:extent cx="6959600" cy="3175"/>
                <wp:docPr id="9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FETZIMA</w:t>
      </w:r>
      <w:r>
        <w:rPr/>
        <w:fldChar w:fldCharType="begin"/>
      </w:r>
      <w:r>
        <w:rPr/>
        <w:instrText>XE "FETZIMA"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with documented trial of any two generic antidepressants (e.g. bupropion, citalopram, escitalopram, fluoxetine, fluvoxamine, paroxetine, paroxetine CR, sertraline, duloxetine, venlafaxine).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FIRAZYR</w:t>
      </w:r>
      <w:r>
        <w:rPr/>
        <mc:AlternateContent>
          <mc:Choice Requires="wps">
            <w:drawing>
              <wp:inline>
                <wp:extent cx="6959600" cy="3175"/>
                <wp:docPr id="9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icatibant</w:t>
      </w:r>
      <w:r>
        <w:rPr/>
        <w:fldChar w:fldCharType="begin"/>
      </w:r>
      <w:r>
        <w:rPr/>
        <w:instrText>XE "icatibant"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exluded for part D</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clinical diagnosis of hereditary angioedema or C1 inhibitor deficiency and having angioedema attacks.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prescribed by an allergist, immunologist, hematologist, or a physician that specializes in the treatment of HAE or related disorders.</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Firdapse (Amidampridine)</w:t>
      </w:r>
      <w:r>
        <w:rPr/>
        <mc:AlternateContent>
          <mc:Choice Requires="wps">
            <w:drawing>
              <wp:inline>
                <wp:extent cx="6959600" cy="3175"/>
                <wp:docPr id="9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FIRDAPSE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RUZURGI</w:t>
      </w:r>
      <w:r>
        <w:rPr/>
        <w:fldChar w:fldCharType="begin"/>
      </w:r>
      <w:r>
        <w:rPr/>
        <w:instrText>XE "FIRDAPSE"</w:instrText>
      </w:r>
      <w:r>
        <w:rPr/>
        <w:fldChar w:fldCharType="end"/>
      </w:r>
      <w:r>
        <w:rPr/>
        <w:fldChar w:fldCharType="begin"/>
      </w:r>
      <w:r>
        <w:rPr/>
        <w:instrText>XE "RUZURGI"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Member has a history of seizures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The diagnosis has been confirmed by one of the following: A) Presence of anti-P/Q-type voltage-gated calcium channel (VGCC) antibodies OR B) Characteristic electromyography (EMG).</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Neurologist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the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Fondaparinux (ARIXTRA)</w:t>
      </w:r>
      <w:r>
        <w:rPr/>
        <mc:AlternateContent>
          <mc:Choice Requires="wps">
            <w:drawing>
              <wp:inline>
                <wp:extent cx="6959600" cy="3175"/>
                <wp:docPr id="9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fondaparinux subcutaneous syringe</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10 mg/0.8 mL, 2.5 mg/0.5 mL, 5 mg/0.4 mL, 7.5 mg/0.6 mL</w:t>
      </w:r>
      <w:r>
        <w:rPr/>
        <w:fldChar w:fldCharType="begin"/>
      </w:r>
      <w:r>
        <w:rPr/>
        <w:instrText>XE "fondaparinux subcutaneous syringe 10 mg/0.8 mL, 2.5 mg/0.5 mL, 5 mg/0.4 mL, 7.5 mg/0.6 mL"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CrCl (EGFR) less than 30mL/min. Patient's weight less than 50kg.</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 Patient's weight and creatinine clearance (CrCl).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 Post-op DVT prophylaxis 1. hip/knee replacement max of 35 days. 2. abdominal surgery</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Forteo V2</w:t>
      </w:r>
      <w:r>
        <w:rPr/>
        <mc:AlternateContent>
          <mc:Choice Requires="wps">
            <w:drawing>
              <wp:inline>
                <wp:extent cx="6959600" cy="3175"/>
                <wp:docPr id="9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FORTEO</w:t>
      </w:r>
      <w:r>
        <w:rPr/>
        <w:fldChar w:fldCharType="begin"/>
      </w:r>
      <w:r>
        <w:rPr/>
        <w:instrText>XE "FORTEO"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Because of an increased incidence of osteosarcoma, Forteo should not be prescribed for patients who are at increased baseline risk for osteosarcoma (including those with Paget's disease of bone or unexplained elevations of alkaline phosphatase, open epiphyses, or prior radiation therapy involving the skeleton).</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Osteoporosis in a postmenopausal female, or B) Primary or hypogonadal osteoporosis in a male, or C) Osteoporosis associated with sustained systemic glucocorticoid therapy AND one or more of the following: 1) History of osteoporotic fracture, or 2) Documented trial and failure of bisphosphonate and Prolia, or 3) Documented contraindication or intolerance to bisphosphonate therapy and Prolia. Patient has not received more than 2 years of therapy with Forteo.</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1 year. Renewal: 1 year not to exceed 2 years of total therapy.</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Treatment failure is defined as documented continued bone loss after at least three months despite treatment with a bisphosphonate or Prolia. Note: Since the effects of long-term treatment with Forteo are not known at this time, therapy for more than 2 years duration is considered experimental and investigational.</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FYCOMPA (Perampanel)</w:t>
      </w:r>
      <w:r>
        <w:rPr/>
        <mc:AlternateContent>
          <mc:Choice Requires="wps">
            <w:drawing>
              <wp:inline>
                <wp:extent cx="6959600" cy="3175"/>
                <wp:docPr id="9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FYCOMPA ORAL SUSPENSION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FYCOMPA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 12 MG, 2 MG, 4 MG, 6 MG, 8 MG</w:t>
      </w:r>
      <w:r>
        <w:rPr/>
        <w:fldChar w:fldCharType="begin"/>
      </w:r>
      <w:r>
        <w:rPr/>
        <w:instrText>XE "FYCOMPA ORAL SUSPENSION"</w:instrText>
      </w:r>
      <w:r>
        <w:rPr/>
        <w:fldChar w:fldCharType="end"/>
      </w:r>
      <w:r>
        <w:rPr/>
        <w:fldChar w:fldCharType="begin"/>
      </w:r>
      <w:r>
        <w:rPr/>
        <w:instrText>XE "FYCOMPA ORAL TABLET 10 MG, 12 MG, 2 MG, 4 MG, 6 MG, 8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GILENYA (Fingolimod)</w:t>
      </w:r>
      <w:r>
        <w:rPr/>
        <mc:AlternateContent>
          <mc:Choice Requires="wps">
            <w:drawing>
              <wp:inline>
                <wp:extent cx="6959600" cy="3175"/>
                <wp:docPr id="9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GILENYA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0.5 MG</w:t>
      </w:r>
      <w:r>
        <w:rPr/>
        <w:fldChar w:fldCharType="begin"/>
      </w:r>
      <w:r>
        <w:rPr/>
        <w:instrText>XE "GILENYA ORAL CAPSULE 0.5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Recent (within the last 6 months) occurrence of: myocardial infarction, unstable angina, stroke, transient ischemic attack, decompensated heart failure requiring hospitalization, or Class III/IV heart failure. History or presence of Mobitz Type II 2nd degree or 3rd degree AV block or sick sinus syndrome, unless patient has a pacemaker. Baseline QTc interval greater than or equal to 500 ms. Receiving concurrent treatment with Class Ia or Class III anti-arrhythmic drugs (quinidine, procainamide, amiodarone, sotalol). Treatment of primary progressive MS is not covered. Combination therapy with a beta interferon product, Gilenya, Aubagio, Tecfidera, Tysabri or Copaxone is not covered.</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a relapsing form of multiple sclerosis or diagnosis of first clinical episode with MRI features consistent with MS AND Patient will be observed for signs and symptoms of bradycardia in a controlled setting for at least 6 hours after the first dose.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a neurologist or MS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In patients with relapsing forms of MS,  Avonex, Copaxone, and Tecfidera must be tried before any other formulary agent will be approved.</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GILOTRIF (Afatinib Dimaleate)</w:t>
      </w:r>
      <w:r>
        <w:rPr/>
        <mc:AlternateContent>
          <mc:Choice Requires="wps">
            <w:drawing>
              <wp:inline>
                <wp:extent cx="6959600" cy="3175"/>
                <wp:docPr id="10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GILOTRIF</w:t>
      </w:r>
      <w:r>
        <w:rPr/>
        <w:fldChar w:fldCharType="begin"/>
      </w:r>
      <w:r>
        <w:rPr/>
        <w:instrText>XE "GILOTRIF"</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1) metastatic non-small cell lung cancer whose tumors have non-resistant epidermal growth factor receptor (EGFR) mutations as detected by an FDA-approved test AND the medication will be used first-line or 2) metastatic squamous NSCLC progressing after platinum-based chemotherapy.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GROWTH HORMONES</w:t>
      </w:r>
      <w:r>
        <w:rPr/>
        <mc:AlternateContent>
          <mc:Choice Requires="wps">
            <w:drawing>
              <wp:inline>
                <wp:extent cx="6959600" cy="3175"/>
                <wp:docPr id="10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OMNITROPE</w:t>
      </w:r>
      <w:r>
        <w:rPr/>
        <w:fldChar w:fldCharType="begin"/>
      </w:r>
      <w:r>
        <w:rPr/>
        <w:instrText>XE "OMNITROPE"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 approved indications not otherwise excluded by Health Plan.  Additional off-label coverage is provided for (note - some growth hormone drugs may be labeled for 1 or more of these indications): adult growth hormone deficiency, growth failure in children small for gestational age or with intrauterine growth retardation, idiopathic short stature, GH deficiency associated with Turner Syndrome, growth failure secondary to chronic renal failure/insufficiency in children who have not received a renal transplant, short stature associated with Noonan Syndrome, short bowel syndrome, and for the treatment of Prader-Willi Syndrome.</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Coverage is not provided for constitutional delayed growth</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Pediatric GHD: epiphyses must be confirmed open in patients 10 years of age and older, AND 1. diagnosis confirmed by any 2 provocative tests or by both low IGF-1 and IGFBP-3 levels in patients who meet the height related conditions of coverage, 2.  diagnosis confirmed by 2 provocative tests and both low IGF-1 and IGF-BP3 in patients not meeting height related coverage conditions, or 3.  3 pituitary hormone deficiencies in pt with irreversible hypothalamic-pituitary structural lesions or panhypopituitarism.  Growth failure from CRF: PGHD criteria must be met without the provocative tests or IGF-1 and IGF-BP3 related conditions. Idiopathic Short Stature: epiphyses must be confirmed as open in patients greater than or equal 10 years of age, height must be less than or equal - 2.25 sds from the mean. Small for Gestational Age: failure to manifest catch up growth by age 2 defined as birth weight, birth length, or both that are more than 2 sds mean normal values following adjustment for age and gender. Turner's syndrome and Noonan Syndrome: epiphyses must be confirmed as open and when on therapy.  Adult GHD: requires either 1.  a negative GH provocative test when the AGHD is due to childhood onset GHD, pituitary or hypothalamic disease, surgery or radiation therapy, or trauma, OR 2.  3 pituitary hormone deficiencies and baseline serum IGF-I levels below the age- and sex-appropriate reference range when the AGHD is due to irreversible hypothalamic-pituitary structural lesions or panhypopituitarism not acquired as a child, OR 3.  3 pituitary hormone deficiencies if adult panhypopit or irreversible hypothalamic-pituitary structural lesions are from childhood.  Short bowel syndrome: when receiving specialized nutritional support.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7 years of age or older for Idiopathic short stature</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Pediatric endocrinologist for ISS</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 month for short bowel syndrome, 12 months for other indications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Height related conditions of coverage: 1.  height below the third percentile for their age and gender related height, 2.  growth velocity subnormal greater than or equal 2 standard deviations (sds) from the age related mean, 3.  delayed skeletal maturation greater than or equal 2 sds below the age/gender related mean. Renewals for PGHD, CFR, SGA, Turner's and Noonan Syndromes require growth response of greater than or equal 4.5 cm/yr (pre-pubertal) or greater than or equal 2.5 cm/yr (post-pubertal) AND open epiphyses.  For pediatric patients with irreversible hypothalamic-pituitary structural lesions or panhypopituitarism coverage is renewable if the patient has had 3 pituitary hormone deficiencies.  Renewals for short bowel syndrome is provided in the presence of clinical benefit (such as, decreasing the patient?s intravenous nutritional requirements). Renewals for Prader-Willi syndrome is provided if pt has increase in lean body mass or decrease in fat mass. Renewals for ISS is provided in the presence of a growth response of greater than or equal 1.5 cm/yr AND open epiphyses.  Renewals for AGHD is provided in the presence of clinical benefit (e.g., increase in total lean body mass, increase in IGF-1 and IGFBP-3 levels, or increase in exercise capacity).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HARVONI (ledipasvir/sofosbuvir) </w:t>
      </w:r>
      <w:r>
        <w:rPr/>
        <mc:AlternateContent>
          <mc:Choice Requires="wps">
            <w:drawing>
              <wp:inline>
                <wp:extent cx="6959600" cy="3175"/>
                <wp:docPr id="10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HARVONI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90-400 MG</w:t>
      </w:r>
      <w:r>
        <w:rPr/>
        <w:fldChar w:fldCharType="begin"/>
      </w:r>
      <w:r>
        <w:rPr/>
        <w:instrText>XE "HARVONI ORAL TABLET 90-400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1. Active IV drug users, 2. Active alcohol users, 3. Reinfection after 6 months cure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For initial authorization (12 weeks maximum), provider must submit completed HCV Tx form, medical records documenting the diagnosis of chronic hepatitis C with genotype and subtype, if applicable, medical records documenting viral load taken within 6 months of beginning therapy AND submit medical records documenting advanced fibrosis as corresponding to a FibroSure or a Liver Biopsy proven. Other fibrosis scores, physical findings, or clinical evidence consistent with cirrhosis as attested by the prescribing physician may be also considered. For any retreatment or extension of PA, 100% compliance will be required (Claim hx). Urine alcohol metabolite and drug screen required.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 gastroenterologist, hepatologist, or infectious disease physician.</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Based on the AASLD treatment guidelines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Criteria and coverage durations will be applied consistent with current AASLD/IDSA guidance. Documentation of F2-F4 fibrosis (fibrosis score of 0.48 and greater) or patient is Health Care worker in direct patient care setting. Must have contraindication to or be unable to tolerate Mavyret, generic Ledipasvir/Sofosbuvir, and generic Sofosbuvir/Velpatasvir.</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HERCEPTIN HYLECTA- trastuzumab and hyaluronidase</w:t>
      </w:r>
      <w:r>
        <w:rPr/>
        <mc:AlternateContent>
          <mc:Choice Requires="wps">
            <w:drawing>
              <wp:inline>
                <wp:extent cx="6959600" cy="3175"/>
                <wp:docPr id="10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HERCEPTIN HYLECTA</w:t>
      </w:r>
      <w:r>
        <w:rPr/>
        <w:fldChar w:fldCharType="begin"/>
      </w:r>
      <w:r>
        <w:rPr/>
        <w:instrText>XE "HERCEPTIN HYLECTA"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1) HER2 overexpressing node positive or node negative breast cancer as part of a treatment regimen consisting of a) doxorubicin, cyclophosphamide, and either paclitaxel or docetaxel or b)docetaxel and carboplatin or c) as a single agent following multi-modality anthracycline based therapy OR 2)HER2-overexpressing metastatic breast cancer either a) in combination with paclitaxel for first-line treatment or b) as a single agent for patients who have received one or more chemotherapy regimens for metastatic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Human Growth Hormone, Somatropin</w:t>
      </w:r>
      <w:r>
        <w:rPr/>
        <mc:AlternateContent>
          <mc:Choice Requires="wps">
            <w:drawing>
              <wp:inline>
                <wp:extent cx="6959600" cy="3175"/>
                <wp:docPr id="10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NUTROPIN AQ NUSPIN SUBCUTANEOUS PEN INJECTOR</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MG/2 ML (5 MG/ML), 20 MG/2 ML (10 MG/ML)</w:t>
      </w:r>
      <w:r>
        <w:rPr/>
        <w:fldChar w:fldCharType="begin"/>
      </w:r>
      <w:r>
        <w:rPr/>
        <w:instrText>XE "NUTROPIN AQ NUSPIN SUBCUTANEOUS PEN INJECTOR 10 MG/2 ML (5 MG/ML), 20 MG/2 ML (10 MG/ML)"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Criteria for use in children: Other reasons for short stature have been ruled out, AND Patient must have clinically diagnosed growth hormone deficiency (GHD) due to lack of endogenous growth hormone confirmed by subnormal response to at least two stimuli of GH release, AND Short stature defined by a height less than or equal to 2 standard deviations below the mean or at or below the 3rd percentile for age and gender, AND Predicted adult height more than 1.5 standard deviations below the mid-parental height, AND bone age at least 1 standard deviation below the normal, AND Clinically determined growth failure (growth rate velocity less than 7cm/year if less than 3 yrs old, and  greater than 5cm/year if greater than 3 yrs old), AND one of the following: Epiphyses are not closed OR diagnosed Turner's Syndrome whose epiphyses are not closed and bone age less than 14 years OR growth failure associated with chronic renal insufficiency in patients whose epiphysis is not closed. For continuation of therapy in children: Epiphysis must not be closed, AND growth rate velocity must be equal to or greater than 2.5cm/year.Criteria for use in adults: growth hormone deficiency alone or with multiple hormone deficiencies (hypopituitarism) as a result of pituitary disease, AND patient must exhibit clinical features of adult GHD, AND documentation of response less than 3ng/ml to two provocative stimulation tests, AND Baseline IGF. Continuation goals of therapy for adults: IGF-1 is in normal range for age and gender based on specific lab reference values(If above normal, dose reduction required)AND Evidence of improvement in factors such as: body composition, increase in bone density, reduction of cardiovascular risk factors, improvement of lipid profile, increase in exercise capacity.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endocrinologist only or pediatric nephrologists (for GHD in chronic renal failure)</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Authorization will be for 6 months. Reauthorization will be for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HUMIRA (Adalimumab)</w:t>
      </w:r>
      <w:r>
        <w:rPr/>
        <mc:AlternateContent>
          <mc:Choice Requires="wps">
            <w:drawing>
              <wp:inline>
                <wp:extent cx="6959600" cy="3175"/>
                <wp:docPr id="10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HUMIRA PEN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HUMIRA PEN CROHNS-UC-HS START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HUMIRA PEN PSOR-UVEITS-ADOL HS</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HUMIRA SUBCUTANEOUS SYRINGE KIT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MG/0.2 ML, 20 MG/0.4 ML, 40 MG/0.8 ML</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HUMIRA(CF) PEDI CROHNS STARTER</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HUMIRA(CF) PEN CROHNS-UC-HS</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HUMIRA(CF) PEN PSOR-UV-ADOL HS</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HUMIRA(CF) PEN SUBCUTANEOUS PEN INJECTOR KIT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40 MG/0.4 ML, 80 MG/0.8 ML</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HUMIRA(CF) SUBCUTANEOUS SYRINGE KIT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MG/0.1 ML, 20 MG/0.2 ML, 40 MG/0.4 ML</w:t>
      </w:r>
      <w:r>
        <w:rPr/>
        <w:fldChar w:fldCharType="begin"/>
      </w:r>
      <w:r>
        <w:rPr/>
        <w:instrText>XE "HUMIRA PEN"</w:instrText>
      </w:r>
      <w:r>
        <w:rPr/>
        <w:fldChar w:fldCharType="end"/>
      </w:r>
      <w:r>
        <w:rPr/>
        <w:fldChar w:fldCharType="begin"/>
      </w:r>
      <w:r>
        <w:rPr/>
        <w:instrText>XE "HUMIRA PEN CROHNS-UC-HS START"</w:instrText>
      </w:r>
      <w:r>
        <w:rPr/>
        <w:fldChar w:fldCharType="end"/>
      </w:r>
      <w:r>
        <w:rPr/>
        <w:fldChar w:fldCharType="begin"/>
      </w:r>
      <w:r>
        <w:rPr/>
        <w:instrText>XE "HUMIRA PEN PSOR-UVEITS-ADOL HS"</w:instrText>
      </w:r>
      <w:r>
        <w:rPr/>
        <w:fldChar w:fldCharType="end"/>
      </w:r>
      <w:r>
        <w:rPr/>
        <w:fldChar w:fldCharType="begin"/>
      </w:r>
      <w:r>
        <w:rPr/>
        <w:instrText>XE "HUMIRA SUBCUTANEOUS SYRINGE KIT 10 MG/0.2 ML, 20 MG/0.4 ML, 40 MG/0.8 ML"</w:instrText>
      </w:r>
      <w:r>
        <w:rPr/>
        <w:fldChar w:fldCharType="end"/>
      </w:r>
      <w:r>
        <w:rPr/>
        <w:fldChar w:fldCharType="begin"/>
      </w:r>
      <w:r>
        <w:rPr/>
        <w:instrText>XE "HUMIRA(CF) PEDI CROHNS STARTER"</w:instrText>
      </w:r>
      <w:r>
        <w:rPr/>
        <w:fldChar w:fldCharType="end"/>
      </w:r>
      <w:r>
        <w:rPr/>
        <w:fldChar w:fldCharType="begin"/>
      </w:r>
      <w:r>
        <w:rPr/>
        <w:instrText>XE "HUMIRA(CF) PEN CROHNS-UC-HS"</w:instrText>
      </w:r>
      <w:r>
        <w:rPr/>
        <w:fldChar w:fldCharType="end"/>
      </w:r>
      <w:r>
        <w:rPr/>
        <w:fldChar w:fldCharType="begin"/>
      </w:r>
      <w:r>
        <w:rPr/>
        <w:instrText>XE "HUMIRA(CF) PEN PSOR-UV-ADOL HS"</w:instrText>
      </w:r>
      <w:r>
        <w:rPr/>
        <w:fldChar w:fldCharType="end"/>
      </w:r>
      <w:r>
        <w:rPr/>
        <w:fldChar w:fldCharType="begin"/>
      </w:r>
      <w:r>
        <w:rPr/>
        <w:instrText>XE "HUMIRA(CF) PEN SUBCUTANEOUS PEN INJECTOR KIT 40 MG/0.4 ML, 80 MG/0.8 ML"</w:instrText>
      </w:r>
      <w:r>
        <w:rPr/>
        <w:fldChar w:fldCharType="end"/>
      </w:r>
      <w:r>
        <w:rPr/>
        <w:fldChar w:fldCharType="begin"/>
      </w:r>
      <w:r>
        <w:rPr/>
        <w:instrText>XE "HUMIRA(CF) SUBCUTANEOUS SYRINGE KIT 10 MG/0.1 ML, 20 MG/0.2 ML, 40 MG/0.4 ML"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Tuberculosis (TB), or invasive fungal infections or other active seriousinfections, or history if recurrent infections. Individuals who have not had a tuberculin skin test or Center for Disease Control recommended equivalent to evaluate for latent tuberculosis prior to initiating treatmetn. Using in combination with other TNF antagonists,IL-1R antagonists, janus kinase inhibitor, anti-cd20 monoclonalantibodies or selective co-stimulation modulators.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treatment history and TB evaluation. FDA-approved indications include Ankylosing Spondylitis (AS), Moderate to Severe Crohn's Disease (CD), Hidradenitis Suppurativa (HS), Polyarticular Juvenile Idiopathic Arthritis (PJIA), Plaque Psoriasis, Psoriatic Arthritis (PsA), Rheumatoid Arthritis (RA), Moderate to Severe Ulcerative Colitis (UC), Uveitis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2 years of age or older for JIA.  6 years of age and older for pediatric Crohn's disease. 18 years of age or older for all other indications.</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for AS if patient has had an inadequate response, intolerance or contraindication to one or more NSAIDs (e.g. ibuprofen, naproxen, meloxicam, celecoxib).  APPROVE for HS if patient has had an inadequate response, intolerance or contraindication to one or more of the following: intralesional or oral corticosteroids, systemic antibiotics, isotretinoin. APPROVE for PJIA if patient has had an inadequate response, intolerance or contraindication to one or more non-biologic DMARDs (e.g., hydroxychloroquine [HCQ], sulfasalazine, MTX, leflunomide, azathioprine, cyclosporine) for at least 3 consecutive months. APPROVE for Plaque Psoriasis (affecting more than 5% of body surface area or affecting crucial body areas such as the hands, feet, face, or genitals) if patient has had an inadequate response, intolerance or contraindication to conventional therapy with to at least two of the following: phototherapy (including but not limited to Ultraviolet A with a psoralen [PUVA] and/or retinoids [RePUVA] for at least one continuous month or one or more oral systemic treatments (i.e. MTX, cyclosporine, acitretin, sulfasalazine) for at least 3 consecutive months. APPROVE for PsA if patient has had an inadequate response, intolerance, or contraindication to MTX. APPROVE for RA if patient has had inadequate response to, intolerance to, or contraindication to at least one non-biologic DMARD (e.g., HCQ, sulfasalazine, MTX, leflunomide, azathioprine, cyclosporine) for at least 3 consecutive months.  APPROVE for Uveitis if patient has tried one of the following therapies:  periocular, intraocular, or systemic corticosteroids, immunosuppressants (azathioprine, MTX, mycophenolate mofetil, cyclophosphamide, cyclosporine). Patient has been tested for TB and latent TB has been ruled out or is being treated. Dosing as per FDA approved labeling.</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Hydromorphone ER (EXALGO)</w:t>
      </w:r>
      <w:r>
        <w:rPr/>
        <mc:AlternateContent>
          <mc:Choice Requires="wps">
            <w:drawing>
              <wp:inline>
                <wp:extent cx="6959600" cy="3175"/>
                <wp:docPr id="10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hydromorphone oral tablet extended release 24 hr</w:t>
      </w:r>
      <w:r>
        <w:rPr/>
        <w:fldChar w:fldCharType="begin"/>
      </w:r>
      <w:r>
        <w:rPr/>
        <w:instrText>XE "hydromorphone oral tablet extended release 24 hr"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diagnosis and failure of preferred generic formulary long-acting opioid alternatives.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HYQVIA (hyaluronidase/immunoglobulin G</w:t>
      </w:r>
      <w:r>
        <w:rPr/>
        <mc:AlternateContent>
          <mc:Choice Requires="wps">
            <w:drawing>
              <wp:inline>
                <wp:extent cx="6959600" cy="3175"/>
                <wp:docPr id="10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HYQVIA</w:t>
      </w:r>
      <w:r>
        <w:rPr/>
        <w:fldChar w:fldCharType="begin"/>
      </w:r>
      <w:r>
        <w:rPr/>
        <w:instrText>XE "HYQVIA"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IBRANCE (Palbociclib)</w:t>
      </w:r>
      <w:r>
        <w:rPr/>
        <mc:AlternateContent>
          <mc:Choice Requires="wps">
            <w:drawing>
              <wp:inline>
                <wp:extent cx="6959600" cy="3175"/>
                <wp:docPr id="10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IBRANCE</w:t>
      </w:r>
      <w:r>
        <w:rPr/>
        <w:fldChar w:fldCharType="begin"/>
      </w:r>
      <w:r>
        <w:rPr/>
        <w:instrText>XE "IBRANCE"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ICLUSIG (Ponatinib)</w:t>
      </w:r>
      <w:r>
        <w:rPr/>
        <mc:AlternateContent>
          <mc:Choice Requires="wps">
            <w:drawing>
              <wp:inline>
                <wp:extent cx="6959600" cy="3175"/>
                <wp:docPr id="10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ICLUSIG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15 MG, 45 MG</w:t>
      </w:r>
      <w:r>
        <w:rPr/>
        <w:fldChar w:fldCharType="begin"/>
      </w:r>
      <w:r>
        <w:rPr/>
        <w:instrText>XE "ICLUSIG ORAL TABLET 15 MG, 45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Chronic myelogenous leukemia (CML) and patient has tried and failed or has an intolerance to two first-line tyrosine kinase inhibitors OR patient has a known T315I mutation, or B) Philadelphia chromosome-positive acute lymphoblastic leukemia and the patient has tried and failed or had an intolerance to two previous tyrosine kinase inhibitors OR patient has a known T315I mutation.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 hematologist/oncologist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Idhifa</w:t>
      </w:r>
      <w:r>
        <w:rPr/>
        <mc:AlternateContent>
          <mc:Choice Requires="wps">
            <w:drawing>
              <wp:inline>
                <wp:extent cx="6959600" cy="3175"/>
                <wp:docPr id="11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IDHIFA</w:t>
      </w:r>
      <w:r>
        <w:rPr/>
        <w:fldChar w:fldCharType="begin"/>
      </w:r>
      <w:r>
        <w:rPr/>
        <w:instrText>XE "IDHIFA"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1. Diagnosis of relapsed or refractory acute myeloid leukemia (AML) with an isocitrate dehydrogenase-2 (IDH2) mutation AND 2. Prescriber agrees to monitor for signs and symptoms of differentiation syndrome.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the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Imatinib (GLEEVEC)</w:t>
      </w:r>
      <w:r>
        <w:rPr/>
        <mc:AlternateContent>
          <mc:Choice Requires="wps">
            <w:drawing>
              <wp:inline>
                <wp:extent cx="6959600" cy="3175"/>
                <wp:docPr id="11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imatinib oral tablet</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100 mg, 400 mg</w:t>
      </w:r>
      <w:r>
        <w:rPr/>
        <w:fldChar w:fldCharType="begin"/>
      </w:r>
      <w:r>
        <w:rPr/>
        <w:instrText>XE "imatinib oral tablet 100 mg, 400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Philadelphia chromosome-positive chronic myelogenous leukemia (Ph+ CML), or B) Ph+ acute lymphoblastic leukemia (ALL), or C) Gastrointestinal tumor (GIST) where patient has documented c-KIT (CD117) positive unresectable or metastatic malignant GIST or patient had resection of c-KIT positive GIST and imatinib will be used as an adjuvant therapy, or D) Dermatofibrosarcoma protuberans that is unresectable, recurrent, or metastatic, or E) Hypereosinophilic syndrome or chronic eosinophilic leukemia, or F) Myelodysplastic syndrome or myeloproliferative disease associated with platelet-derived growth factor receptor gene re-arrangements, or G) Aggressive systemic mastocytosis without the D816V c-KIT mutation or with c-KIT mutation or with c-KIT mutational status unknown.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 year of age or older - newly diagnosed CML in the chronic phase or newly diagnosed Ph+ ALL. 18 years of age or older for other indications.</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IMBRUVICA (Ibrutinib)</w:t>
      </w:r>
      <w:r>
        <w:rPr/>
        <mc:AlternateContent>
          <mc:Choice Requires="wps">
            <w:drawing>
              <wp:inline>
                <wp:extent cx="6959600" cy="3175"/>
                <wp:docPr id="11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IMBRUVICA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140 MG, 70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IMBRUVICA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140 MG, 280 MG, 420 MG, 560 MG</w:t>
      </w:r>
      <w:r>
        <w:rPr/>
        <w:fldChar w:fldCharType="begin"/>
      </w:r>
      <w:r>
        <w:rPr/>
        <w:instrText>XE "IMBRUVICA ORAL CAPSULE 140 MG, 70 MG"</w:instrText>
      </w:r>
      <w:r>
        <w:rPr/>
        <w:fldChar w:fldCharType="end"/>
      </w:r>
      <w:r>
        <w:rPr/>
        <w:fldChar w:fldCharType="begin"/>
      </w:r>
      <w:r>
        <w:rPr/>
        <w:instrText>XE "IMBRUVICA ORAL TABLET 140 MG, 280 MG, 420 MG, 560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Inbrija (levodopa inhalation)</w:t>
      </w:r>
      <w:r>
        <w:rPr/>
        <mc:AlternateContent>
          <mc:Choice Requires="wps">
            <w:drawing>
              <wp:inline>
                <wp:extent cx="6959600" cy="3175"/>
                <wp:docPr id="11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INBRIJA</w:t>
      </w:r>
      <w:r>
        <w:rPr/>
        <w:fldChar w:fldCharType="begin"/>
      </w:r>
      <w:r>
        <w:rPr/>
        <w:instrText>XE "INBRIJA"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patient is not currently taking or has recently (within 2 weeks) taken a nonselective monoamine oxidase (MAO) inhibitor (e.g., phenelzine and tranylcypromine)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Patient is currently treated with carbidopa/levodopa AND is experiencing intermittent OFF episodes secondary to Parkinson's disease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Reauthorization requires physician attestation of medications efficacy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INCRELEX (Mecasermin)</w:t>
      </w:r>
      <w:r>
        <w:rPr/>
        <mc:AlternateContent>
          <mc:Choice Requires="wps">
            <w:drawing>
              <wp:inline>
                <wp:extent cx="6959600" cy="3175"/>
                <wp:docPr id="11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INCRELEX</w:t>
      </w:r>
      <w:r>
        <w:rPr/>
        <w:fldChar w:fldCharType="begin"/>
      </w:r>
      <w:r>
        <w:rPr/>
        <w:instrText>XE "INCRELEX"</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Insulin-like growth factor therapy is considered NOT medically necessary when any of the following criteria are met: Final adult height has been reached as determined by the 5th percentile of adult height OR the bone epiphyses are closed OR the patient is older than 18 years of age. Contraindicated in neonates, patients with closed epiphyses, and suspected neoplasia.</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1. All of the following: a. Diagnosis of severe primary IGF-1 deficiency. b. Height standard deviation score of -3.0 or less. c. Basal IGF-1 standard deviation score of -3.0 or less. d. Normal or elevated growth hormone. e. Open finger epiphyses on last boneradiograph GH gene deletion: a. Diagnosis of growth hormone gene deletion who have developed neutralizing antibodies to GH, AND b. Have open finger epiphyses on last bone radiograph.</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The patient is between 2 years -18 years old for Increlex therapy</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endocrinologist to prescribe</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 to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Not a substitute for GH treatment. For renewal, Patient had a minimum growth rate of at least 2 cm/year.</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INLYTA</w:t>
      </w:r>
      <w:r>
        <w:rPr/>
        <mc:AlternateContent>
          <mc:Choice Requires="wps">
            <w:drawing>
              <wp:inline>
                <wp:extent cx="6959600" cy="3175"/>
                <wp:docPr id="11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INLYTA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 MG, 5 MG</w:t>
      </w:r>
      <w:r>
        <w:rPr/>
        <w:fldChar w:fldCharType="begin"/>
      </w:r>
      <w:r>
        <w:rPr/>
        <w:instrText>XE "INLYTA ORAL TABLET 1 MG, 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INREBIC</w:t>
      </w:r>
      <w:r>
        <w:rPr/>
        <mc:AlternateContent>
          <mc:Choice Requires="wps">
            <w:drawing>
              <wp:inline>
                <wp:extent cx="6959600" cy="3175"/>
                <wp:docPr id="11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INREBIC</w:t>
      </w:r>
      <w:r>
        <w:rPr/>
        <w:fldChar w:fldCharType="begin"/>
      </w:r>
      <w:r>
        <w:rPr/>
        <w:instrText>XE "INREBIC"</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Patients on treatment with ruxolitinib before initiation must taper and discontinue according to ruxolitinib prescribing information</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Must provide labs showing patient is not thiamine deficient before starting drug</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INTRON-A (Interferon Alfa-2B)</w:t>
      </w:r>
      <w:r>
        <w:rPr/>
        <mc:AlternateContent>
          <mc:Choice Requires="wps">
            <w:drawing>
              <wp:inline>
                <wp:extent cx="6959600" cy="3175"/>
                <wp:docPr id="11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INTRON A INJECTION</w:t>
      </w:r>
      <w:r>
        <w:rPr/>
        <w:fldChar w:fldCharType="begin"/>
      </w:r>
      <w:r>
        <w:rPr/>
        <w:instrText>XE "INTRON A INJECTION"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Type B viral Hepatitis (HBeAg positive): Serum HBsAg positive for at least six months, AND elevated serum ALT 2 times ULN or moderate to severe hepatitis or fibrosis on biopsy. Type B Viral Hepatitis (HBeAg negative) HBsAG positive for at least 6 months AND BHV DNA level of 2000 IU/ml or more than 11,200 copies/ml AND One of the following, persistent ALT 2 times UNL or moderate to severe hepatitis or fibrosis on biopsy. Documentation must be provided showing trial and failure to our preferred agent Peg-Intron. Chronic Hepatitis C: Positive HCV antibody and HCV RNA. Documentation must be provided showing trial and failure to our preferred agent Peg-Intron. Condyloma Acuminatum or Perianal Warts: Must have documentation of trial and failure to preferred alternative or intolerance/contraindication to preferred alternatives. For external perianal warts, condylox gel, for external genital warts, podofilox, or imiquimod. Hairy Cell Leukemia: Medical documentation indicating diagnosis. Malignant Melanoma: Indicated as adjuvant to surgical treatment with malignant melanoma who are free of disease but at high risk for systemic recurrence, within 56 days of surgery. Follicular Lymphoma: Indicated for the initial treatment of clinically aggressive follicular Non-Hodgkins Lymphoma in conjunction with anthracycline-containing combination chemotherapy. Efficacy in patients with low-grade, low-tumor burden follicular Non-Hodgkins Lymphoma has not been demonstrated. AIDS-Related Kaposis Sarcoma: Indicated for the treatment of selected patients. The likelihood of response to therapy is greater in patients who are without systemic symptoms, who have limited lymphadenopathy and who have a relatively intact immune system as indicated by total CD4 count.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For Hepatitis B- age 1 or older, For Hepatitis C - age 3 or older, All other diagnoses- 18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INVEGA (paliperidone)</w:t>
      </w:r>
      <w:r>
        <w:rPr/>
        <mc:AlternateContent>
          <mc:Choice Requires="wps">
            <w:drawing>
              <wp:inline>
                <wp:extent cx="6959600" cy="3175"/>
                <wp:docPr id="11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INVEGA SUSTENNA</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paliperidone oral tablet extended release 24hr</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1.5 mg, 3 mg, 6 mg, 9 mg</w:t>
      </w:r>
      <w:r>
        <w:rPr/>
        <w:fldChar w:fldCharType="begin"/>
      </w:r>
      <w:r>
        <w:rPr/>
        <w:instrText>XE "INVEGA SUSTENNA"</w:instrText>
      </w:r>
      <w:r>
        <w:rPr/>
        <w:fldChar w:fldCharType="end"/>
      </w:r>
      <w:r>
        <w:rPr/>
        <w:fldChar w:fldCharType="begin"/>
      </w:r>
      <w:r>
        <w:rPr/>
        <w:instrText>XE "paliperidone oral tablet extended release 24hr 1.5 mg, 3 mg, 6 mg, 9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Schizophrenia AND documented treatment failure or intolerable side effects from treatment with two formulary antipsychotic medications such as risperidone, ziprasidone,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IRESSA</w:t>
      </w:r>
      <w:r>
        <w:rPr/>
        <mc:AlternateContent>
          <mc:Choice Requires="wps">
            <w:drawing>
              <wp:inline>
                <wp:extent cx="6959600" cy="3175"/>
                <wp:docPr id="11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IRESSA</w:t>
      </w:r>
      <w:r>
        <w:rPr/>
        <w:fldChar w:fldCharType="begin"/>
      </w:r>
      <w:r>
        <w:rPr/>
        <w:instrText>XE "IRESSA"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 not otherwise excluded from Part D.</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prescribed by 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mos initial, renewable in 6 month increments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ISENTRESS</w:t>
      </w:r>
      <w:r>
        <w:rPr/>
        <mc:AlternateContent>
          <mc:Choice Requires="wps">
            <w:drawing>
              <wp:inline>
                <wp:extent cx="6959600" cy="3175"/>
                <wp:docPr id="12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ISENTRESS HD</w:t>
      </w:r>
      <w:r>
        <w:rPr/>
        <w:fldChar w:fldCharType="begin"/>
      </w:r>
      <w:r>
        <w:rPr/>
        <w:instrText>XE "ISENTRESS HD"</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the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Itraconazole (Sporanox)</w:t>
      </w:r>
      <w:r>
        <w:rPr/>
        <mc:AlternateContent>
          <mc:Choice Requires="wps">
            <w:drawing>
              <wp:inline>
                <wp:extent cx="6959600" cy="3175"/>
                <wp:docPr id="12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itraconazole oral capsule</w:t>
      </w:r>
      <w:r>
        <w:rPr/>
        <w:fldChar w:fldCharType="begin"/>
      </w:r>
      <w:r>
        <w:rPr/>
        <w:instrText>XE "itraconazole oral capsule"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onychomycosis - must have documented failure, intolerance or contraindication to terbinafine.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IVIG (immune globulin)</w:t>
      </w:r>
      <w:r>
        <w:rPr/>
        <mc:AlternateContent>
          <mc:Choice Requires="wps">
            <w:drawing>
              <wp:inline>
                <wp:extent cx="6959600" cy="3175"/>
                <wp:docPr id="12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GAMASTAN S/D</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GAMMAGARD LIQUID</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GAMMAGARD S-D (IGA &lt; 1 MCG/ML)</w:t>
      </w:r>
      <w:r>
        <w:rPr/>
        <w:fldChar w:fldCharType="begin"/>
      </w:r>
      <w:r>
        <w:rPr/>
        <w:instrText>XE "GAMASTAN S/D"</w:instrText>
      </w:r>
      <w:r>
        <w:rPr/>
        <w:fldChar w:fldCharType="end"/>
      </w:r>
      <w:r>
        <w:rPr/>
        <w:fldChar w:fldCharType="begin"/>
      </w:r>
      <w:r>
        <w:rPr/>
        <w:instrText>XE "GAMMAGARD LIQUID"</w:instrText>
      </w:r>
      <w:r>
        <w:rPr/>
        <w:fldChar w:fldCharType="end"/>
      </w:r>
      <w:r>
        <w:rPr/>
        <w:fldChar w:fldCharType="begin"/>
      </w:r>
      <w:r>
        <w:rPr/>
        <w:instrText>XE "GAMMAGARD S-D (IGA "</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medically accepted indications not otherwise excluded by Health Plan, chronic inflammatory demyelinating polyneuropathy, multifocal motor neuropathy, dermatomyositis, polymyositis, Guillain-Barre syndrome (GBS), relapsing-remitting multiple sclerosis (RRMS), myasthenia gravis, Lambert-Eaton myasthenic syndrome, Kawasaki syndrome, idiopathic thrombocytopenic purpura, pure red cell aplasia (PRCA), fetal/neonatal alloimmune thrombocytopenia, and prophylaxis of bacterial infections in B-cell chronic lymphocytic leukemia (CLL), bone marrow/hematopoietic stem cell transplant (BMT/HSCT) recipients, and pediatric HIV infection.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IgA deficiency with antibodies to IgA and a history of hypersensitivity. History of anaphylaxis or severe systemic reaction to human immune globulin or product components.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previous treatment. For dermatomyositis and polymyositis: standard 1st line treatments (corticosteroids or immunosuppressants) have been tried but were unsuccessful or not tolerated OR patient is unable to receive standard therapy because of a contraindication or other clinical reason. For GBS: physical mobility must be severely affected such that the patient requires an aid to walk AND IVIG therapy must be initiated within 2 weeks of symptom onset. For RRMS: standard 1st line treatments (e.g. interferon, glatiramer, dimethyl fumarate) have been tried but were unsuccessful or not tolerated OR patient is unable to receive standard therapy because of a contraindication or other clinical reason. For CLL: serum IgG less than 500 mg/dL OR a history of recurrent bacterial infections. For BMT/HSCT: serum IgG less than 400 mg/dL. For pediatric HIV infection: serum IgG less than 400 mg/dL OR a history of recurrent bacterial infections. PRCA is secondary to parvovirus B19 infection. For all indications: patients with any of the following risk factors for renal dysfunction must receive the minimum dose or concentration available of IVIG and the minimum infusion rate practicable: pre-existing renal insufficiency, diabetes mellitus, age over 65 years, volume depletion, sepsis, paraproteinemia, or receiving concomitant nephrotoxic drugs. For all indications: patients with any of the following risk factors for thrombosis must receive the minimum dose or concentration available of IVIG and the minimum infusion rate practicable: age 45 years or older, prolonged immobilization, hypercoagulable conditions, history of venous or arterial thrombosis, use of estrogens, indwelling central vascular catheters, hyperviscosity, or cardiovascular risk factors.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JAKAFI (Ruxolitinib Phosphate)</w:t>
      </w:r>
      <w:r>
        <w:rPr/>
        <mc:AlternateContent>
          <mc:Choice Requires="wps">
            <w:drawing>
              <wp:inline>
                <wp:extent cx="6959600" cy="3175"/>
                <wp:docPr id="12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JAKAFI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 15 MG, 20 MG, 25 MG, 5 MG</w:t>
      </w:r>
      <w:r>
        <w:rPr/>
        <w:fldChar w:fldCharType="begin"/>
      </w:r>
      <w:r>
        <w:rPr/>
        <w:instrText>XE "JAKAFI ORAL TABLET 10 MG, 15 MG, 20 MG, 25 MG, 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Statement of diagnosis for treatment of patients with intermediate or highrisk myelofibrosis, including primary myelofibrosis, post-polycythemia vera myelofibrosis and post-essential thrombocythemia myelofibrosis and lab work indicating a complete blood count and platelet count before initiating therapy and recent lab work indicating complete blood count and platelet count for a dosage adjustment. Lab work must indicate platelets are more than 50 x 109/L and dose must be less than 50 mg per day. No dose increases will be approved within 4 weeks of therapy and not more frequently than every 2 weeks. If no spleen reduction or symptom improvement after 6 months then discontinue the drug.</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Myelofibrosis: Prescribed by a Hematologist/Oncologist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Jynarque</w:t>
      </w:r>
      <w:r>
        <w:rPr/>
        <mc:AlternateContent>
          <mc:Choice Requires="wps">
            <w:drawing>
              <wp:inline>
                <wp:extent cx="6959600" cy="3175"/>
                <wp:docPr id="12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JYNARQUE ORAL TABLETS, SEQUENTIAL</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45 MG (AM)/ 15 MG (PM), 60 MG (AM)/ 30 MG (PM), 90 MG (AM)/ 30 MG (PM)</w:t>
      </w:r>
      <w:r>
        <w:rPr/>
        <w:fldChar w:fldCharType="begin"/>
      </w:r>
      <w:r>
        <w:rPr/>
        <w:instrText>XE "JYNARQUE ORAL TABLETS, SEQUENTIAL 45 MG (AM)/ 15 MG (PM), 60 MG (AM)/ 30 MG (PM), 90 MG (AM)/ 30 MG (PM)"</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Medication requested is being used to slow kidney function decline AND Liver function laboratory values (ALT, AST and bilirubin) have been reviewed and are appropriate before initiation.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is 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Authorization will be for 3 months. Reauthorization will be for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KALYDECO (Ivacaftor)</w:t>
      </w:r>
      <w:r>
        <w:rPr/>
        <mc:AlternateContent>
          <mc:Choice Requires="wps">
            <w:drawing>
              <wp:inline>
                <wp:extent cx="6959600" cy="3175"/>
                <wp:docPr id="12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KALYDECO ORAL GRANULES IN PACKET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50 MG, 75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KALYDECO ORAL TABLET</w:t>
      </w:r>
      <w:r>
        <w:rPr/>
        <w:fldChar w:fldCharType="begin"/>
      </w:r>
      <w:r>
        <w:rPr/>
        <w:instrText>XE "KALYDECO ORAL GRANULES IN PACKET 50 MG, 75 MG"</w:instrText>
      </w:r>
      <w:r>
        <w:rPr/>
        <w:fldChar w:fldCharType="end"/>
      </w:r>
      <w:r>
        <w:rPr/>
        <w:fldChar w:fldCharType="begin"/>
      </w:r>
      <w:r>
        <w:rPr/>
        <w:instrText>XE "KALYDECO ORAL TABLET"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Medical documentation of cystic fibrosis AND member has a G551D, G1244E, G1349D, G178R, G551S, R117H, S1251N, S1255P, S549N, or S549R mutation in the CFTR gene AND member does not have a Homozygous F508del mutation in CFTR gene.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Ivacaftor oral granules are approved in patients 2 years of age and older. Ivacaftor oral tablets are approved in patients 6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Endocrinologist or Pulmonologist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Kisqali 2019</w:t>
      </w:r>
      <w:r>
        <w:rPr/>
        <mc:AlternateContent>
          <mc:Choice Requires="wps">
            <w:drawing>
              <wp:inline>
                <wp:extent cx="6959600" cy="3175"/>
                <wp:docPr id="12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KISQALI</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KISQALI FEMARA CO-PACK</w:t>
      </w:r>
      <w:r>
        <w:rPr/>
        <w:fldChar w:fldCharType="begin"/>
      </w:r>
      <w:r>
        <w:rPr/>
        <w:instrText>XE "KISQALI"</w:instrText>
      </w:r>
      <w:r>
        <w:rPr/>
        <w:fldChar w:fldCharType="end"/>
      </w:r>
      <w:r>
        <w:rPr/>
        <w:fldChar w:fldCharType="begin"/>
      </w:r>
      <w:r>
        <w:rPr/>
        <w:instrText>XE "KISQALI FEMARA CO-PACK"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member has tried and failed or has a contraindication to Ibrance.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KUVAN (Sapropterin Dihydrochloride)</w:t>
      </w:r>
      <w:r>
        <w:rPr/>
        <mc:AlternateContent>
          <mc:Choice Requires="wps">
            <w:drawing>
              <wp:inline>
                <wp:extent cx="6959600" cy="3175"/>
                <wp:docPr id="12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KUVAN ORAL TABLET,SOLUBLE</w:t>
      </w:r>
      <w:r>
        <w:rPr/>
        <w:fldChar w:fldCharType="begin"/>
      </w:r>
      <w:r>
        <w:rPr/>
        <w:instrText>XE "KUVAN ORAL TABLET,SOLUBLE"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 month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2 months. Renewal: through 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initial approval, Patient will have phenylalanine levels measured one week after starting therapy and periodically for up to two months of therapy to determine response. For renewal, patient has been determined to be a responder to therapy (i.e. phenylalanine levels have decreased by at least 30% from baseline) and phenylalanine levels will be measured periodically during therapy.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LACRISERT (hydroxyproplycellulose)</w:t>
      </w:r>
      <w:r>
        <w:rPr/>
        <mc:AlternateContent>
          <mc:Choice Requires="wps">
            <w:drawing>
              <wp:inline>
                <wp:extent cx="6959600" cy="3175"/>
                <wp:docPr id="12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LACRISERT</w:t>
      </w:r>
      <w:r>
        <w:rPr/>
        <w:fldChar w:fldCharType="begin"/>
      </w:r>
      <w:r>
        <w:rPr/>
        <w:instrText>XE "LACRISERT"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Ledipasvir/Sofosbuvir</w:t>
      </w:r>
      <w:r>
        <w:rPr/>
        <mc:AlternateContent>
          <mc:Choice Requires="wps">
            <w:drawing>
              <wp:inline>
                <wp:extent cx="6959600" cy="3175"/>
                <wp:docPr id="12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ledipasvir-sofosbuvir</w:t>
      </w:r>
      <w:r>
        <w:rPr/>
        <w:fldChar w:fldCharType="begin"/>
      </w:r>
      <w:r>
        <w:rPr/>
        <w:instrText>XE "ledipasvir-sofosbuvir"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Provider must submit medical records documenting the following: 1) medical diagnosis of Chronic Hepatitis C with labs documenting genotype and subtype, AND 2) medical records documenting viral load taken within 6 months of beginning therapy, AND 3) fibrosis score to confirm appropriate duration of treatment, AND 4) documentation of previous HCV therapies to confirm appropriate duration of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12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 gastroenterologist, hepatologist, or infectious disease physician.</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to 24 weeks based on the AASLD treatment guidelines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Criteria and coverage durations will be applied consistent with current AASLD/IDSA guidance.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LENVIMA (Lenvatinib)</w:t>
      </w:r>
      <w:r>
        <w:rPr/>
        <mc:AlternateContent>
          <mc:Choice Requires="wps">
            <w:drawing>
              <wp:inline>
                <wp:extent cx="6959600" cy="3175"/>
                <wp:docPr id="13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LENVIMA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MG/DAY (10 MG X 1), 12 MG/DAY (4 MG X 3), 14 MG/DAY(10 MG X 1-4 MG X 1), 18 MG/DAY (10 MG X 1-4 MG X2), 20 MG/DAY (10 MG X 2), 24 MG/DAY(10 MG X 2-4 MG X 1), 4 MG, 8 MG/DAY (4 MG X 2)</w:t>
      </w:r>
      <w:r>
        <w:rPr/>
        <w:fldChar w:fldCharType="begin"/>
      </w:r>
      <w:r>
        <w:rPr/>
        <w:instrText>XE "LENVIMA ORAL CAPSULE 10 MG/DAY (10 MG X 1), 12 MG/DAY (4 MG X 3), 14 MG/DAY(10 MG X 1-4 MG X 1), 18 MG/DAY (10 MG X 1-4 MG X2), 20 MG/DAY (10 MG X 2), 24 MG/DAY(10 MG X 2-4 MG X 1), 4 MG, 8 MG/DAY (4 MG X 2)"</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LETAIRIS (Ambrisentan)</w:t>
      </w:r>
      <w:r>
        <w:rPr/>
        <mc:AlternateContent>
          <mc:Choice Requires="wps">
            <w:drawing>
              <wp:inline>
                <wp:extent cx="6959600" cy="3175"/>
                <wp:docPr id="13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AMBRISENTAN</w:t>
      </w:r>
      <w:r>
        <w:rPr/>
        <w:fldChar w:fldCharType="begin"/>
      </w:r>
      <w:r>
        <w:rPr/>
        <w:instrText>XE "AMBRISENTAN"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Known or suspected pregnancy. Treat women of child-bearing potential only after a negative pregnancy test and treat only women who are using two reliable methods of contraception OR have had a tubal sterilization OR a Copper T 380A IUD or LNg 20 IUD inserted.</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Pulmonary Arterial Hypertension (PAH) AND pregnancy must be excluded prior to the start of therapy and will be prevented thereafter with two forms of reliable contraception in female patients of reproductive potential. Trial and failure of Revatio or Adcirca.</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LEUKINE (Sargramostim)</w:t>
      </w:r>
      <w:r>
        <w:rPr/>
        <mc:AlternateContent>
          <mc:Choice Requires="wps">
            <w:drawing>
              <wp:inline>
                <wp:extent cx="6959600" cy="3175"/>
                <wp:docPr id="13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LEUKINE INJECTION RECON SOLN</w:t>
      </w:r>
      <w:r>
        <w:rPr/>
        <w:fldChar w:fldCharType="begin"/>
      </w:r>
      <w:r>
        <w:rPr/>
        <w:instrText>XE "LEUKINE INJECTION RECON SOLN"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Chemotherapy or radiotherapy within 24 hours or concomitantly, excess leukemic myeloid blasts in the bone marrow or blood (10% or greater), hypersensitivity to granulocyte-macrophage colony-stimulating factor (GM-CSF) or yeast-derived products, allergic or anaphylactoid reactions to the medication in the past.</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Medical statement indicating diagnosis AND trial and failure of preferred agent neupogen AND Absolute Neutrophil Count less than 10,000/mm3 and CBC with differential.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Patients requiring prophylaxis of febirle neutropenia in acute myelogenous leukemia following induction chemotherapy must be at least 55 years of age, other diagnoses do not specify an age restriction</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LEUPROLIDE INJECTION SOLUTION</w:t>
      </w:r>
      <w:r>
        <w:rPr/>
        <mc:AlternateContent>
          <mc:Choice Requires="wps">
            <w:drawing>
              <wp:inline>
                <wp:extent cx="6959600" cy="3175"/>
                <wp:docPr id="13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leuprolide</w:t>
      </w:r>
      <w:r>
        <w:rPr/>
        <w:fldChar w:fldCharType="begin"/>
      </w:r>
      <w:r>
        <w:rPr/>
        <w:instrText>XE "leuprolide"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 in patients with child-bearing potential. Breastfeeding. Undiagnosed abnormal vaginal bleeding.</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Advanced or metastatic prostate cancer (7.5 mg 1-month, 22.5 mg 3-month, 30 mg 4-month, &amp; 45 mg 6-month depots only), or  B) Central precocious puberty (Lupron Depot-Ped) AND submission of pubertal gonadal sex steroid levels (testosterone greater than 30 ng/dL, estradiol greater than 20 pg/mL AND a pubertal LH increase upon native GnRH stimulation AND pelvic ultrasound assessment (girls) is required for approval along with notes indicating premature development of secondary sexual characteristics at or before the age of 8 yrs in girls and 9 yrs in boys and significant advancement of bone age and/or a poor adult height prediction AND other causes of sexual precocity must be excluded.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LIDOCAINE PRODUCTS</w:t>
      </w:r>
      <w:r>
        <w:rPr/>
        <mc:AlternateContent>
          <mc:Choice Requires="wps">
            <w:drawing>
              <wp:inline>
                <wp:extent cx="6959600" cy="3175"/>
                <wp:docPr id="13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lidocaine topical adhesive patch,medicated</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5 %</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lidocaine topical ointment</w:t>
      </w:r>
      <w:r>
        <w:rPr/>
        <w:fldChar w:fldCharType="begin"/>
      </w:r>
      <w:r>
        <w:rPr/>
        <w:instrText>XE "lidocaine topical adhesive patch,medicated 5 %"</w:instrText>
      </w:r>
      <w:r>
        <w:rPr/>
        <w:fldChar w:fldCharType="end"/>
      </w:r>
      <w:r>
        <w:rPr/>
        <w:fldChar w:fldCharType="begin"/>
      </w:r>
      <w:r>
        <w:rPr/>
        <w:instrText>XE "lidocaine topical ointment"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Linezolid (ZYVOX)</w:t>
      </w:r>
      <w:r>
        <w:rPr/>
        <mc:AlternateContent>
          <mc:Choice Requires="wps">
            <w:drawing>
              <wp:inline>
                <wp:extent cx="6959600" cy="3175"/>
                <wp:docPr id="13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linezolid</w:t>
      </w:r>
      <w:r>
        <w:rPr/>
        <w:fldChar w:fldCharType="begin"/>
      </w:r>
      <w:r>
        <w:rPr/>
        <w:instrText>XE "linezolid"</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Patients that are currently myelosuppressed due to any cause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Culture and sensitivity reports verifying: 1. VRE infections within past 30 days. 2. Nosocomial pneumonia (MRSA) within past 30 days. 3. Nosocomial or CAP (MSSA or S. pneumoniae) within past 30 days and failure/resistance to 2 preferred antibiotics 4. Complicated SSI without osteomyelitis (MRSA) within past 30 days. 5. Uncomplicated SSI (MRSA) within past 30 days or empirical treatment of uncomplicated or community-acquired complicated SSI without osteomyelitis (MRSA likely) and failure/resistance to 2 preferred antibiotics. 6. Uncomplicated or complicated SSI without osteomyelitis (MSSA, S. pyogenes, or S. agalactiae (complicated SSI only)) within past 30 days and failure/resistance to 2 preferred antibiotics.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Presribing physician must be an infectious disease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Non-MRSA nosocomial or community acquired pneumonia, SSI: 14 days Other uses: 28 days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Nosocomial or community acquired pneumonia (MSSA or S. pneumoniae) preferred antibiotics: Amoxicilin/Clavulanate, Azithromycin, Cephalexin, Clarithromycin, Levaquin. Uncomplicated SSI (MRSA) or empirical treatment of patients with uncomplicated or community-acquired complicated SSI without osteomyelitis (MRSA likely) preferred antibiotics: Trimethoprim/sulfamethoxazole, Tetracycline, Doxycycline, Minocycline, Clindamycin. Uncomplicated or complicated SSI without osteomyelitis (MSSA, S. pyogenes, or S. agalactiae (complicated SSI only)) preferred antibiotics: Amoxicillin/clavulanate, Cephalexin, Ciprofloxacin, Clindamycin, Levaquin, Trimethoprim/Sulfamethoxazole, Dicloxacillin.</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LIVALO (Pitavastatin)</w:t>
      </w:r>
      <w:r>
        <w:rPr/>
        <mc:AlternateContent>
          <mc:Choice Requires="wps">
            <w:drawing>
              <wp:inline>
                <wp:extent cx="6959600" cy="3175"/>
                <wp:docPr id="13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LIVALO</w:t>
      </w:r>
      <w:r>
        <w:rPr/>
        <w:fldChar w:fldCharType="begin"/>
      </w:r>
      <w:r>
        <w:rPr/>
        <w:instrText>XE "LIVALO"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Stated failure of generic formulary alternatives.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Lokelma (Sodium Zirconium Cyclosilicate)</w:t>
      </w:r>
      <w:r>
        <w:rPr/>
        <mc:AlternateContent>
          <mc:Choice Requires="wps">
            <w:drawing>
              <wp:inline>
                <wp:extent cx="6959600" cy="3175"/>
                <wp:docPr id="13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LOKELMA</w:t>
      </w:r>
      <w:r>
        <w:rPr/>
        <w:fldChar w:fldCharType="begin"/>
      </w:r>
      <w:r>
        <w:rPr/>
        <w:instrText>XE "LOKELMA"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elevated serum potassium (greater than 5.0 mEq/L) and the beneficiary has failure, contraindication or intolerance to sodium polystyrene sulfonate oral suspension.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Lorbrena (Lorlatinib)</w:t>
      </w:r>
      <w:r>
        <w:rPr/>
        <mc:AlternateContent>
          <mc:Choice Requires="wps">
            <w:drawing>
              <wp:inline>
                <wp:extent cx="6959600" cy="3175"/>
                <wp:docPr id="13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LORBRENA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100 MG, 25 MG</w:t>
      </w:r>
      <w:r>
        <w:rPr/>
        <w:fldChar w:fldCharType="begin"/>
      </w:r>
      <w:r>
        <w:rPr/>
        <w:instrText>XE "LORBRENA ORAL TABLET 100 MG, 25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anaplastic lymphoma kinase (ALK)-positive metastatic non-small cell lung cancer (NSCLC) whose disease has progressed on one of the following: 1. crizotinib and at least one other ALK inhibitor for metastatic disease: or 2. alectinib as the first ALK inhibitor therapy for metastatic disease: or 3. ceritinib as the first ALK inhibitor therapy for metastatic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LUPANETA (leuprolide/norethindrone)</w:t>
      </w:r>
      <w:r>
        <w:rPr/>
        <mc:AlternateContent>
          <mc:Choice Requires="wps">
            <w:drawing>
              <wp:inline>
                <wp:extent cx="6959600" cy="3175"/>
                <wp:docPr id="13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LUPANETA PACK (1 MONTH)</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LUPANETA PACK (3 MONTH)</w:t>
      </w:r>
      <w:r>
        <w:rPr/>
        <w:fldChar w:fldCharType="begin"/>
      </w:r>
      <w:r>
        <w:rPr/>
        <w:instrText>XE "LUPANETA PACK (1 MONTH)"</w:instrText>
      </w:r>
      <w:r>
        <w:rPr/>
        <w:fldChar w:fldCharType="end"/>
      </w:r>
      <w:r>
        <w:rPr/>
        <w:fldChar w:fldCharType="begin"/>
      </w:r>
      <w:r>
        <w:rPr/>
        <w:instrText>XE "LUPANETA PACK (3 MONTH)"</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LUPRON (Leuprolide)</w:t>
      </w:r>
      <w:r>
        <w:rPr/>
        <mc:AlternateContent>
          <mc:Choice Requires="wps">
            <w:drawing>
              <wp:inline>
                <wp:extent cx="6959600" cy="3175"/>
                <wp:docPr id="14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LUPRON DEPOT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LUPRON DEPOT (3 MONTH)</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LUPRON DEPOT (4 MONTH)</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LUPRON DEPOT (6 MONTH)</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LUPRON DEPOT-PED</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LUPRON DEPOT-PED (3 MONTH)</w:t>
      </w:r>
      <w:r>
        <w:rPr/>
        <w:fldChar w:fldCharType="begin"/>
      </w:r>
      <w:r>
        <w:rPr/>
        <w:instrText>XE "LUPRON DEPOT"</w:instrText>
      </w:r>
      <w:r>
        <w:rPr/>
        <w:fldChar w:fldCharType="end"/>
      </w:r>
      <w:r>
        <w:rPr/>
        <w:fldChar w:fldCharType="begin"/>
      </w:r>
      <w:r>
        <w:rPr/>
        <w:instrText>XE "LUPRON DEPOT (3 MONTH)"</w:instrText>
      </w:r>
      <w:r>
        <w:rPr/>
        <w:fldChar w:fldCharType="end"/>
      </w:r>
      <w:r>
        <w:rPr/>
        <w:fldChar w:fldCharType="begin"/>
      </w:r>
      <w:r>
        <w:rPr/>
        <w:instrText>XE "LUPRON DEPOT (4 MONTH)"</w:instrText>
      </w:r>
      <w:r>
        <w:rPr/>
        <w:fldChar w:fldCharType="end"/>
      </w:r>
      <w:r>
        <w:rPr/>
        <w:fldChar w:fldCharType="begin"/>
      </w:r>
      <w:r>
        <w:rPr/>
        <w:instrText>XE "LUPRON DEPOT (6 MONTH)"</w:instrText>
      </w:r>
      <w:r>
        <w:rPr/>
        <w:fldChar w:fldCharType="end"/>
      </w:r>
      <w:r>
        <w:rPr/>
        <w:fldChar w:fldCharType="begin"/>
      </w:r>
      <w:r>
        <w:rPr/>
        <w:instrText>XE "LUPRON DEPOT-PED"</w:instrText>
      </w:r>
      <w:r>
        <w:rPr/>
        <w:fldChar w:fldCharType="end"/>
      </w:r>
      <w:r>
        <w:rPr/>
        <w:fldChar w:fldCharType="begin"/>
      </w:r>
      <w:r>
        <w:rPr/>
        <w:instrText>XE "LUPRON DEPOT-PED (3 MONTH)"</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 in patients with child-bearing potential. Breastfeeding. Undiagnosed abnormal vaginal bleeding.</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Advanced or metastatic prostate cancer (7.5 mg 1-month, 22.5 mg 3-month, 30 mg 4-month, &amp; 45 mg 6-month depots only), or B) Endometriosis (3.75 mg 1-month &amp; 11.25 mg 3-month depots only) AND 1. For initial authorization, patient has had an inadequate pain control response or has an intolerance or contraindication to one of the following: Danazol or combination [estrogen/progesterone] oral contraceptives or progestins, or 2. For retreatment course, patient is experiencing recurrence of symptoms after an initial course of therapy with leuprolide acetate and norethindrone acetate 5 mg daily will be co-administered, or C) Anemia due to uterine Leiomyomata (Fibroids) (3.75 mg 1-month &amp;11.25 mg 3-month depots only) AND patient is preoperative AND has tried and had an inadequate response to monotherapy with iron, or D) Central precocious puberty (Lupron Depot-Ped) AND submission of pubertal gonadal sex steroid levels (testosterone greater than 30 ng/dL, estradiol greater than 20 pg/mL AND a pubertal LH increase upon native GnRH stimulation AND pelvic ultrasound assessment (girls) is required for approval along with notes indicating premature development of secondary sexual characteristics at or before the age of 8 yrs in girls and 9 yrs in boys and significant advancement of bone age and/or a poor adult height prediction AND other causes of sexual precocity must be excluded.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Endocrinologist, or Gynecologist to prescribe</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endometriosis and uterine fibroids, patient will be using nonhormonal contraception during and for 12 weeks after therapy.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LYNPARZA</w:t>
      </w:r>
      <w:r>
        <w:rPr/>
        <mc:AlternateContent>
          <mc:Choice Requires="wps">
            <w:drawing>
              <wp:inline>
                <wp:extent cx="6959600" cy="3175"/>
                <wp:docPr id="14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LYNPARZA ORAL TABLET</w:t>
      </w:r>
      <w:r>
        <w:rPr/>
        <w:fldChar w:fldCharType="begin"/>
      </w:r>
      <w:r>
        <w:rPr/>
        <w:instrText>XE "LYNPARZA ORAL TABLET"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1. Documentation of deleterious germline BRCA mutated ovarian cancer AND 2. Documentation of at least 3 prior chemotherapy regimens that have been ineffective or not tolerated AND 3. Lynparza will be used as monotherapy.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Makena (hydroxyprogesterone caproate injection)</w:t>
      </w:r>
      <w:r>
        <w:rPr/>
        <mc:AlternateContent>
          <mc:Choice Requires="wps">
            <w:drawing>
              <wp:inline>
                <wp:extent cx="6959600" cy="3175"/>
                <wp:docPr id="14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MAKENA INTRAMUSCULAR OIL</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250 MG/ML (1 ML)</w:t>
      </w:r>
      <w:r>
        <w:rPr/>
        <w:fldChar w:fldCharType="begin"/>
      </w:r>
      <w:r>
        <w:rPr/>
        <w:instrText>XE "MAKENA INTRAMUSCULAR OIL 250 MG/ML (1 ML)"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singleton pregnancy (i.e. one fetus) AND a history of singleton spontaneous preterm birth defined as delivery prior to 37 weeks gestation AND the pregnancy is between 16 weeks, 0 days and 20 weeks, 6 days gestation AND the requested dose and frequency is in accordance with FDA-approved labeling.</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16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coverage is provided until week 37 (through 36 weeks, 6 days) of gestation</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Mavenclad (Cladribine)</w:t>
      </w:r>
      <w:r>
        <w:rPr/>
        <mc:AlternateContent>
          <mc:Choice Requires="wps">
            <w:drawing>
              <wp:inline>
                <wp:extent cx="6959600" cy="3175"/>
                <wp:docPr id="14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MAVENCLAD (10 TABLET PACK)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MAVENCLAD (4 TABLET PACK)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MAVENCLAD (5 TABLET PACK)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MAVENCLAD (6 TABLET PACK)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MAVENCLAD (7 TABLET PACK)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MAVENCLAD (8 TABLET PACK)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MAVENCLAD (9 TABLET PACK)</w:t>
      </w:r>
      <w:r>
        <w:rPr/>
        <w:fldChar w:fldCharType="begin"/>
      </w:r>
      <w:r>
        <w:rPr/>
        <w:instrText>XE "MAVENCLAD (10 TABLET PACK)"</w:instrText>
      </w:r>
      <w:r>
        <w:rPr/>
        <w:fldChar w:fldCharType="end"/>
      </w:r>
      <w:r>
        <w:rPr/>
        <w:fldChar w:fldCharType="begin"/>
      </w:r>
      <w:r>
        <w:rPr/>
        <w:instrText>XE "MAVENCLAD (4 TABLET PACK)"</w:instrText>
      </w:r>
      <w:r>
        <w:rPr/>
        <w:fldChar w:fldCharType="end"/>
      </w:r>
      <w:r>
        <w:rPr/>
        <w:fldChar w:fldCharType="begin"/>
      </w:r>
      <w:r>
        <w:rPr/>
        <w:instrText>XE "MAVENCLAD (5 TABLET PACK)"</w:instrText>
      </w:r>
      <w:r>
        <w:rPr/>
        <w:fldChar w:fldCharType="end"/>
      </w:r>
      <w:r>
        <w:rPr/>
        <w:fldChar w:fldCharType="begin"/>
      </w:r>
      <w:r>
        <w:rPr/>
        <w:instrText>XE "MAVENCLAD (6 TABLET PACK)"</w:instrText>
      </w:r>
      <w:r>
        <w:rPr/>
        <w:fldChar w:fldCharType="end"/>
      </w:r>
      <w:r>
        <w:rPr/>
        <w:fldChar w:fldCharType="begin"/>
      </w:r>
      <w:r>
        <w:rPr/>
        <w:instrText>XE "MAVENCLAD (7 TABLET PACK)"</w:instrText>
      </w:r>
      <w:r>
        <w:rPr/>
        <w:fldChar w:fldCharType="end"/>
      </w:r>
      <w:r>
        <w:rPr/>
        <w:fldChar w:fldCharType="begin"/>
      </w:r>
      <w:r>
        <w:rPr/>
        <w:instrText>XE "MAVENCLAD (8 TABLET PACK)"</w:instrText>
      </w:r>
      <w:r>
        <w:rPr/>
        <w:fldChar w:fldCharType="end"/>
      </w:r>
      <w:r>
        <w:rPr/>
        <w:fldChar w:fldCharType="begin"/>
      </w:r>
      <w:r>
        <w:rPr/>
        <w:instrText>XE "MAVENCLAD (9 TABLET PACK)"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Individual with current malignancy OR human immunodeficiency virus (HIV) infection OR an active chronic infection (e.g., hepatitis or tuberculosis)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of relapsing multiple sclerosis, including relapsing-remitting disease or active secondary progressive disease AND the patient has had a trial and inadequate response or intolerance to at least one alternative drug indicated for the treatment of multiple sclerosis.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Will only be approved for 2 treatment cycles.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Mavyret</w:t>
      </w:r>
      <w:r>
        <w:rPr/>
        <mc:AlternateContent>
          <mc:Choice Requires="wps">
            <w:drawing>
              <wp:inline>
                <wp:extent cx="6959600" cy="3175"/>
                <wp:docPr id="14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MAVYRET</w:t>
      </w:r>
      <w:r>
        <w:rPr/>
        <w:fldChar w:fldCharType="begin"/>
      </w:r>
      <w:r>
        <w:rPr/>
        <w:instrText>XE "MAVYRET"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For retreatment, patient was non-adherent to initial regimen as evidenced by medical record and/or pharmacy claims OR patient continues to engage in high risk behavior and experienced reinfection secondary to high risk behavior.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Provider must submit medical records documenting the following: 1) medical diagnosis of Chronic Hepatitis C with labs documenting genotype and subtype, AND 2) medical records documenting viral load taken within 6 months of beginning therapy, AND 3) documentation of previous HCV therapies to confirm appropriate duration of treatment. Authorization for retreatment requires the following: 1)Evidence of failure to achieve a sustained virologic response (SVR) or lack of efficacy during treatment (polymerase chain reaction (PCR) assay, 12 or more weeks after completing treatment or a 10-fold increase of viral load at week 6 of treatment) OR evidence of adverse event that required therapy discontinuation (Laboratory results and/or clinical presentation), AND 2) Member was adherent to previous therapy as evidenced by pharmacy claims, AND 3) Submission of psychological support/treatment for a minimum of six months for substance abuse related failure (i.e. NA, AA), AND 4)Patient has abstained from the use of illicit drugs and alcohol for a minimum of 3 months as evidenced by negative urine or blood confirmation tests, collected monthly for the past 90 days prior to initiation of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 gastroenterologist, hepatologist, or infectious disease physician.</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based on the AASLD treatment guidelines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Criteria and coverage durations will be applied consistent with current AASLD/IDSA guidance. </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MEKINIST (Trametinib Dimethyl Sulfoxide)</w:t>
      </w:r>
      <w:r>
        <w:rPr/>
        <mc:AlternateContent>
          <mc:Choice Requires="wps">
            <w:drawing>
              <wp:inline>
                <wp:extent cx="6959600" cy="3175"/>
                <wp:docPr id="14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MEKINIST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0.5 MG, 2 MG</w:t>
      </w:r>
      <w:r>
        <w:rPr/>
        <w:fldChar w:fldCharType="begin"/>
      </w:r>
      <w:r>
        <w:rPr/>
        <w:instrText>XE "MEKINIST ORAL TABLET 0.5 MG, 2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Patients who have received prior BRAF-inhibitor therapy.</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unresectable or metastatic melanoma, positive BRAF V600E or V600K mutation as detected by an FDA-approved test (THxID-BRAF Kit) or Clinical Laboratory Improvement Amendments (CLIA)-approved facility, and the patient has not received prior BRAF-inhibitor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Mektovi (Binimetinib)</w:t>
      </w:r>
      <w:r>
        <w:rPr/>
        <mc:AlternateContent>
          <mc:Choice Requires="wps">
            <w:drawing>
              <wp:inline>
                <wp:extent cx="6959600" cy="3175"/>
                <wp:docPr id="14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MEKTOVI</w:t>
      </w:r>
      <w:r>
        <w:rPr/>
        <w:fldChar w:fldCharType="begin"/>
      </w:r>
      <w:r>
        <w:rPr/>
        <w:instrText>XE "MEKTOVI"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unresectable or metastatic melanoma with a BRAF V600E or V600K mutation, as detected by an FDA-approved test and that Mektovi will be used in combination with encorafenib.</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MENEST (Esterified Estrogens)</w:t>
      </w:r>
      <w:r>
        <w:rPr/>
        <mc:AlternateContent>
          <mc:Choice Requires="wps">
            <w:drawing>
              <wp:inline>
                <wp:extent cx="6959600" cy="3175"/>
                <wp:docPr id="14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MENEST</w:t>
      </w:r>
      <w:r>
        <w:rPr/>
        <w:fldChar w:fldCharType="begin"/>
      </w:r>
      <w:r>
        <w:rPr/>
        <w:instrText>XE "MENEST"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Any pertinent clinical situation as defined by the product label that could affect patient safety and/or therapeutic efficacy (i.e. contraindications, warnings, precautions, adverse effects, renal or hepatic function, drug interactions, lab values, required prior or concomitant therapy, inappropriate dosing and/or duration, etc).</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treatment of vaginal atrophy - must have documented failure, intolerance or contraindication to at least 1 formulary vaginal estrogen. (Estrace cream, Premarin cream, Vagifem tab)</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Meropenem (MERREM)</w:t>
      </w:r>
      <w:r>
        <w:rPr/>
        <mc:AlternateContent>
          <mc:Choice Requires="wps">
            <w:drawing>
              <wp:inline>
                <wp:extent cx="6959600" cy="3175"/>
                <wp:docPr id="14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meropenem</w:t>
      </w:r>
      <w:r>
        <w:rPr/>
        <w:fldChar w:fldCharType="begin"/>
      </w:r>
      <w:r>
        <w:rPr/>
        <w:instrText>XE "meropenem"</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Cultures and sensitivities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Infectious disease</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Miglustat</w:t>
      </w:r>
      <w:r>
        <w:rPr/>
        <mc:AlternateContent>
          <mc:Choice Requires="wps">
            <w:drawing>
              <wp:inline>
                <wp:extent cx="6959600" cy="3175"/>
                <wp:docPr id="14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miglustat</w:t>
      </w:r>
      <w:r>
        <w:rPr/>
        <w:fldChar w:fldCharType="begin"/>
      </w:r>
      <w:r>
        <w:rPr/>
        <w:instrText>XE "miglustat"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mild to moderate type 1 Gaucher disease AND patient is symptomatic (i.e. radiologic evidence of skeletal disease, platelet count less than 60,000 microL, liver greater than 2.5 times normal size, spleen greater than 15 times normal size) AND enzyme replacement therapy is not a therapeutic option (e.g. due to allergy, hypersensitivity, or poor venous access).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Mirvaso</w:t>
      </w:r>
      <w:r>
        <w:rPr/>
        <mc:AlternateContent>
          <mc:Choice Requires="wps">
            <w:drawing>
              <wp:inline>
                <wp:extent cx="6959600" cy="3175"/>
                <wp:docPr id="15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MIRVASO TOPICAL GEL</w:t>
      </w:r>
      <w:r>
        <w:rPr/>
        <w:fldChar w:fldCharType="begin"/>
      </w:r>
      <w:r>
        <w:rPr/>
        <w:instrText>XE "MIRVASO TOPICAL GEL"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Must have a clinical diagnosis of persistent (non-transient) facial erythema of rosacea supported by documentation from the patient's medical records AND Must have tried and failed or had an inadequate response or intolerant to Metronidazole topical (0.75%).</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Must be 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Modafinil (PROVIGIL)</w:t>
      </w:r>
      <w:r>
        <w:rPr/>
        <mc:AlternateContent>
          <mc:Choice Requires="wps">
            <w:drawing>
              <wp:inline>
                <wp:extent cx="6959600" cy="3175"/>
                <wp:docPr id="15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modafinil</w:t>
      </w:r>
      <w:r>
        <w:rPr/>
        <w:fldChar w:fldCharType="begin"/>
      </w:r>
      <w:r>
        <w:rPr/>
        <w:instrText>XE "modafinil"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prior therapies used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Idiopathic hypersomnia--  approve if the diagnosis is confirmed by a sleep specialist physician or at an institution that specializes in sleep disorders (i.e., sleep center)</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MOVANTIK (naloxegol)</w:t>
      </w:r>
      <w:r>
        <w:rPr/>
        <mc:AlternateContent>
          <mc:Choice Requires="wps">
            <w:drawing>
              <wp:inline>
                <wp:extent cx="6959600" cy="3175"/>
                <wp:docPr id="15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MOVANTIK</w:t>
      </w:r>
      <w:r>
        <w:rPr/>
        <w:fldChar w:fldCharType="begin"/>
      </w:r>
      <w:r>
        <w:rPr/>
        <w:instrText>XE "MOVANTIK"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Known or suspected gastrointestinal obstruction and at increased risk of recurrent obstruction, due to the potential for gastrointestinal perforation.  Concomitantly taking strong CYP3A4 inhibitors (e.g., clarithromycin, ketoconazole)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if member has been taking an opioid for at least 4 weeks and has tried lifestyle changes (e.g. maintaining a diet rich in fiber and/or fiber supplementation along with adequate fluid intake) and has tried a bowel regimen of an osmostic laxative (e.g. PEG 3350) or a stimulant laxative (e.g. bisacodyl) with or without a stool softener (e.g. docusate).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MOZOBIL (Plerixafor)</w:t>
      </w:r>
      <w:r>
        <w:rPr/>
        <mc:AlternateContent>
          <mc:Choice Requires="wps">
            <w:drawing>
              <wp:inline>
                <wp:extent cx="6959600" cy="3175"/>
                <wp:docPr id="15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MOZOBIL</w:t>
      </w:r>
      <w:r>
        <w:rPr/>
        <w:fldChar w:fldCharType="begin"/>
      </w:r>
      <w:r>
        <w:rPr/>
        <w:instrText>XE "MOZOBIL"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Harvesting of peripheral blood stem cells, In patients with non-Hodgkin's lymphoma and multiple myeloma. Patients weight for dosage determination. Concurrent Treatments: used in combination with granulocyte-colony stimulating factor</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Approve for those patients 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Prescriber must be an oncologist or 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The patient must have a documented treatment failure (i.e. failure to reach and/or maintain a target ANC) which is consistent with pharmacy claims data with an adequate trial (including dates, doses of therapy) of Neupogen.  Physician reviewer must override criteria when, in his/her professional judgment, the requested item is medically necessary.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Mulpleta</w:t>
      </w:r>
      <w:r>
        <w:rPr/>
        <mc:AlternateContent>
          <mc:Choice Requires="wps">
            <w:drawing>
              <wp:inline>
                <wp:extent cx="6959600" cy="3175"/>
                <wp:docPr id="15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MULPLETA</w:t>
      </w:r>
      <w:r>
        <w:rPr/>
        <w:fldChar w:fldCharType="begin"/>
      </w:r>
      <w:r>
        <w:rPr/>
        <w:instrText>XE "MULPLETA"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will be used for the treatment of thrombocytopenia in adult patients with chronic liver disease who are scheduled to undergo a procedure and had a platelet count less than 50 × 10^9/L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NAGLAZYME (Galsulfase)</w:t>
      </w:r>
      <w:r>
        <w:rPr/>
        <mc:AlternateContent>
          <mc:Choice Requires="wps">
            <w:drawing>
              <wp:inline>
                <wp:extent cx="6959600" cy="3175"/>
                <wp:docPr id="15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NAGLAZYME</w:t>
      </w:r>
      <w:r>
        <w:rPr/>
        <w:fldChar w:fldCharType="begin"/>
      </w:r>
      <w:r>
        <w:rPr/>
        <w:instrText>XE "NAGLAZYME"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NATPARA (Parathyroid Hormone (Recombinant))</w:t>
      </w:r>
      <w:r>
        <w:rPr/>
        <mc:AlternateContent>
          <mc:Choice Requires="wps">
            <w:drawing>
              <wp:inline>
                <wp:extent cx="6959600" cy="3175"/>
                <wp:docPr id="15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NATPARA</w:t>
      </w:r>
      <w:r>
        <w:rPr/>
        <w:fldChar w:fldCharType="begin"/>
      </w:r>
      <w:r>
        <w:rPr/>
        <w:instrText>XE "NATPARA"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Because of the potential risk of osteosarcoma, recommended only for patients who cannot be well-controlled on calcium supplements and active forms of vitamin D alone, has not been studied in patients with hypoparathyroidism caused by calcium-sensing receptor mutations or in patients with acute postsurgical hypoparathyroidism.</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hypocalcemia secondary to hypoparathyroidism, AND hypocalcemia is not corrected by calcium supplements and active forms of vitamin D alone, AND member is concurrently taking a calcium supplement and an active form of vitamin 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NERLYNX</w:t>
      </w:r>
      <w:r>
        <w:rPr/>
        <mc:AlternateContent>
          <mc:Choice Requires="wps">
            <w:drawing>
              <wp:inline>
                <wp:extent cx="6959600" cy="3175"/>
                <wp:docPr id="15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NERLYNX</w:t>
      </w:r>
      <w:r>
        <w:rPr/>
        <w:fldChar w:fldCharType="begin"/>
      </w:r>
      <w:r>
        <w:rPr/>
        <w:instrText>XE "NERLYNX"</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NERLYNX is indicated for the extended adjuvant treatment of adult patients with early stage HER2-overexpressed/amplified breast cancer, to follow adjuvant trastuzumab based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the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NEULASTA (Pegfilgrastim)</w:t>
      </w:r>
      <w:r>
        <w:rPr/>
        <mc:AlternateContent>
          <mc:Choice Requires="wps">
            <w:drawing>
              <wp:inline>
                <wp:extent cx="6959600" cy="3175"/>
                <wp:docPr id="15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NEULASTA</w:t>
      </w:r>
      <w:r>
        <w:rPr/>
        <w:fldChar w:fldCharType="begin"/>
      </w:r>
      <w:r>
        <w:rPr/>
        <w:instrText>XE "NEULASTA"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 and is renewable in situations where it continues to provide clinical benefit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NEUPOGEN (Filgrastim)</w:t>
      </w:r>
      <w:r>
        <w:rPr/>
        <mc:AlternateContent>
          <mc:Choice Requires="wps">
            <w:drawing>
              <wp:inline>
                <wp:extent cx="6959600" cy="3175"/>
                <wp:docPr id="15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NEUPOGEN</w:t>
      </w:r>
      <w:r>
        <w:rPr/>
        <w:fldChar w:fldCharType="begin"/>
      </w:r>
      <w:r>
        <w:rPr/>
        <w:instrText>XE "NEUPOGEN"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Varies by indication.</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NEXAVAR (Sorafenib)</w:t>
      </w:r>
      <w:r>
        <w:rPr/>
        <mc:AlternateContent>
          <mc:Choice Requires="wps">
            <w:drawing>
              <wp:inline>
                <wp:extent cx="6959600" cy="3175"/>
                <wp:docPr id="16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NEXAVAR</w:t>
      </w:r>
      <w:r>
        <w:rPr/>
        <w:fldChar w:fldCharType="begin"/>
      </w:r>
      <w:r>
        <w:rPr/>
        <w:instrText>XE "NEXAVAR"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Combination use with other tyrosine kinase inhibitors such as sorafenib, sunitinib. Squamous cell lung cancer being treated with carboplatin and paclitaxel.</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Advanced renal cell carcinoma, or B) Locally recurrent or metastatic, progressive, differentiated thyroid carcinoma refractory to radioactive iodine treatment, or C) Unresectable hepatocellular carcinoma.</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at least 18 years old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3 months, Renewal: through end of benefit year w/ stable disease</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NORPACE CR (Disopyramide Phosphate)</w:t>
      </w:r>
      <w:r>
        <w:rPr/>
        <mc:AlternateContent>
          <mc:Choice Requires="wps">
            <w:drawing>
              <wp:inline>
                <wp:extent cx="6959600" cy="3175"/>
                <wp:docPr id="16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NORPACE CR</w:t>
      </w:r>
      <w:r>
        <w:rPr/>
        <w:fldChar w:fldCharType="begin"/>
      </w:r>
      <w:r>
        <w:rPr/>
        <w:instrText>XE "NORPACE CR"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 including reason why disopyramide IR cannot be used.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NORTHERA (Droxidopa)</w:t>
      </w:r>
      <w:r>
        <w:rPr/>
        <mc:AlternateContent>
          <mc:Choice Requires="wps">
            <w:drawing>
              <wp:inline>
                <wp:extent cx="6959600" cy="3175"/>
                <wp:docPr id="16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NORTHERA</w:t>
      </w:r>
      <w:r>
        <w:rPr/>
        <w:fldChar w:fldCharType="begin"/>
      </w:r>
      <w:r>
        <w:rPr/>
        <w:instrText>XE "NORTHERA"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Patient does not have persistent or sustained supine hypertension (SBP more than 180 mmHg or DBP more than 110 mmHg), Patient does not have persistent or sustained standing or sitting hypertension (SBP more than 180 mmHg or DBP more than 110 mmHg), and Patient had improvement in symptoms of NOH. Sustained mean elevated blood pressure that persists for longer than 5 minutes after change in position. Persistent means elevated BP that occurs on more than one occasion on separate physician office visits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NOXAFIL (Posaconazole)</w:t>
      </w:r>
      <w:r>
        <w:rPr/>
        <mc:AlternateContent>
          <mc:Choice Requires="wps">
            <w:drawing>
              <wp:inline>
                <wp:extent cx="6959600" cy="3175"/>
                <wp:docPr id="16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NOXAFIL</w:t>
      </w:r>
      <w:r>
        <w:rPr/>
        <w:fldChar w:fldCharType="begin"/>
      </w:r>
      <w:r>
        <w:rPr/>
        <w:instrText>XE "NOXAFIL"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13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 OR up to through 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Fluconazole preferred for candida.  Voriconazole preferred for aspergillus.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NUBEQA- darolutamide </w:t>
      </w:r>
      <w:r>
        <w:rPr/>
        <mc:AlternateContent>
          <mc:Choice Requires="wps">
            <w:drawing>
              <wp:inline>
                <wp:extent cx="6959600" cy="3175"/>
                <wp:docPr id="16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NUBEQA</w:t>
      </w:r>
      <w:r>
        <w:rPr/>
        <w:fldChar w:fldCharType="begin"/>
      </w:r>
      <w:r>
        <w:rPr/>
        <w:instrText>XE "NUBEQA"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Documenation of non-metastatic castration resistant prostate cancer (nmCRPC).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Nucala (mepolizumab)</w:t>
      </w:r>
      <w:r>
        <w:rPr/>
        <mc:AlternateContent>
          <mc:Choice Requires="wps">
            <w:drawing>
              <wp:inline>
                <wp:extent cx="6959600" cy="3175"/>
                <wp:docPr id="16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NUCALA SUBCUTANEOUS AUTO-INJECTOR</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NUCALA SUBCUTANEOUS SYRINGE</w:t>
      </w:r>
      <w:r>
        <w:rPr/>
        <w:fldChar w:fldCharType="begin"/>
      </w:r>
      <w:r>
        <w:rPr/>
        <w:instrText>XE "NUCALA SUBCUTANEOUS AUTO-INJECTOR"</w:instrText>
      </w:r>
      <w:r>
        <w:rPr/>
        <w:fldChar w:fldCharType="end"/>
      </w:r>
      <w:r>
        <w:rPr/>
        <w:fldChar w:fldCharType="begin"/>
      </w:r>
      <w:r>
        <w:rPr/>
        <w:instrText>XE "NUCALA SUBCUTANEOUS SYRINGE"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either A) patient has asthma with an eosinophilic phenotype defined as blood eosinophils greater than or equal to 300 cells/µL within previous 12 months or greater than or equal to 150 cells/µL within 6 weeks of dosing AND medication will be used in combination with a corticosteroid inhaler and long acting beta2-agonist AND Patient must have experienced two or more exacerbations in the previous year OR require daily oral corticosteroids OR B)patient has eosinophilic granulomatosis with polyangiitis (EGPA)AND documented trial and failure of or contraindication to treatment with at least one immunosuppressants (azathioprine, cyclophosphamide, or methotrexate).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NUCYNTA (Tapentadol)</w:t>
      </w:r>
      <w:r>
        <w:rPr/>
        <mc:AlternateContent>
          <mc:Choice Requires="wps">
            <w:drawing>
              <wp:inline>
                <wp:extent cx="6959600" cy="3175"/>
                <wp:docPr id="16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NUCYNTA</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NUCYNTA ER</w:t>
      </w:r>
      <w:r>
        <w:rPr/>
        <w:fldChar w:fldCharType="begin"/>
      </w:r>
      <w:r>
        <w:rPr/>
        <w:instrText>XE "NUCYNTA"</w:instrText>
      </w:r>
      <w:r>
        <w:rPr/>
        <w:fldChar w:fldCharType="end"/>
      </w:r>
      <w:r>
        <w:rPr/>
        <w:fldChar w:fldCharType="begin"/>
      </w:r>
      <w:r>
        <w:rPr/>
        <w:instrText>XE "NUCYNTA ER"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Documented failure to tramadol or tramadol extended-release.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Nuedexta Pending CMS Approval</w:t>
      </w:r>
      <w:r>
        <w:rPr/>
        <mc:AlternateContent>
          <mc:Choice Requires="wps">
            <w:drawing>
              <wp:inline>
                <wp:extent cx="6959600" cy="3175"/>
                <wp:docPr id="16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NUEDEXTA</w:t>
      </w:r>
      <w:r>
        <w:rPr/>
        <w:fldChar w:fldCharType="begin"/>
      </w:r>
      <w:r>
        <w:rPr/>
        <w:instrText>XE "NUEDEXTA"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Currently prescribed an MAOI or within 14 days of stopping an MAOI. Diagnosis of AV block (without implanted pacemaker, or patients at high risk of complete AV block), heart failure, QT prolongation or history of torsades de pointes. Concomitant use with drugs that both prolong QT interval and are metabolized by CYP2D6 (e.g., thioridazine or pimozide).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Initial Authorization Requirement: Trial and failure of at least 1 formulary alternative with evidence for clinical effectiveness in treatment of PBA off label (e.g., fluoxetine, citalopram, sertraline, amitriptyline or nortriptyline) AND Clinical diagnosis of Pseudobulbar affect (PBA) as evidenced by ALL of the following: A) episodes causing clinically significant distress or impairment in social or occupational functioning, AND B)PBA Symptom frequency of 4 or more episodes per day, AND C) Baseline score of at least 13 on the Center for Neurologic Studies-Lability Scale (CNS-LS), AND D) Neurologic disease or brain injury (e.g., traumatic brain injury, stroke, dementia, multiple sclerosis, amyotrophic lateral sclerosis (ALS), Parkinson's disease). Reauthorization Requirement: Documentation of clinical benefit with decrease in episodes per day.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 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Neurologist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Authorization will be for 3 months. Reauthorization will be for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NULOJIX (Belatacept)</w:t>
      </w:r>
      <w:r>
        <w:rPr/>
        <mc:AlternateContent>
          <mc:Choice Requires="wps">
            <w:drawing>
              <wp:inline>
                <wp:extent cx="6959600" cy="3175"/>
                <wp:docPr id="16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NULOJIX</w:t>
      </w:r>
      <w:r>
        <w:rPr/>
        <w:fldChar w:fldCharType="begin"/>
      </w:r>
      <w:r>
        <w:rPr/>
        <w:instrText>XE "NULOJIX"</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Transplant recipients who are Epstein-Barr virus (EBV) seronegative or with unknown EBV serostatus.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For prophylaxis of organ rejection in adults receiving kidney transplant, in combination with basiliximab induction, mycophenolate mofetil, and corticosteroids, AND documentation of patient's EBV serostatus.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Nurtec (rimegepant sulfate)</w:t>
      </w:r>
      <w:r>
        <w:rPr/>
        <mc:AlternateContent>
          <mc:Choice Requires="wps">
            <w:drawing>
              <wp:inline>
                <wp:extent cx="6959600" cy="3175"/>
                <wp:docPr id="16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NURTEC ODT</w:t>
      </w:r>
      <w:r>
        <w:rPr/>
        <w:fldChar w:fldCharType="begin"/>
      </w:r>
      <w:r>
        <w:rPr/>
        <w:instrText>XE "NURTEC ODT"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will be used for the acute treatment of migraine with or without aura in adults AND the member has tried and failed three alternatives two of which were triptans, unless contraindicated.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Reauthorization requires documentation of medication efficacy.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OCTREOTIDE (SANDOSTATIN)</w:t>
      </w:r>
      <w:r>
        <w:rPr/>
        <mc:AlternateContent>
          <mc:Choice Requires="wps">
            <w:drawing>
              <wp:inline>
                <wp:extent cx="6959600" cy="3175"/>
                <wp:docPr id="17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octreotide acetate injection solution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SANDOSTATIN LAR DEPOT INTRAMUSCULAR SUSPENSION,EXTENDED REL RECON</w:t>
      </w:r>
      <w:r>
        <w:rPr/>
        <w:fldChar w:fldCharType="begin"/>
      </w:r>
      <w:r>
        <w:rPr/>
        <w:instrText>XE "octreotide acetate injection solution"</w:instrText>
      </w:r>
      <w:r>
        <w:rPr/>
        <w:fldChar w:fldCharType="end"/>
      </w:r>
      <w:r>
        <w:rPr/>
        <w:fldChar w:fldCharType="begin"/>
      </w:r>
      <w:r>
        <w:rPr/>
        <w:instrText>XE "SANDOSTATIN LAR DEPOT INTRAMUSCULAR SUSPENSION,EXTENDED REL RECON"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Acromegaly and patient had an inadequate response or cannot be treated with surgical resection, pituitary irradiation, and/or bromocriptine mesylate at maximally tolerated doses, or B) Metastatic carcinoid tumor requiring symptomatic treatment of severe diarrhea and flushing episodes, or C) Vasoactive intestinal peptide tumor requiring treatment of profuse watery diarrhea.Acromegaly: Documentation of inadequate response to surgery and/or radiotherapy, or documentation that patient is not a candidate for surgery and/or radiotherapy. Reauthorization will require statement indicating growth hormone (GH) levels are stabilized at  less than 5.0ng/mL and IGF-1 levels are normalized (male less than 1.9U/mL or female less than 2.2 U/mL) as matched by age and gender, or the patient has a documented clinical response defined by a reduction of tumor mass, a reduction in the signs and symptoms of acromegaly, or an improvement in significant comorbidities.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of acromegaly, IGF-1 level has normalized or improved. For renewal of metastatic carcinoid tumor, patient has improvement in diarrhea and flushing episodes. For renewal of vasoactive intestinal peptide tumor, improvement in diarrhea episodes.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ODOMZO (sonidegib)</w:t>
      </w:r>
      <w:r>
        <w:rPr/>
        <mc:AlternateContent>
          <mc:Choice Requires="wps">
            <w:drawing>
              <wp:inline>
                <wp:extent cx="6959600" cy="3175"/>
                <wp:docPr id="17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ODOMZO</w:t>
      </w:r>
      <w:r>
        <w:rPr/>
        <w:fldChar w:fldCharType="begin"/>
      </w:r>
      <w:r>
        <w:rPr/>
        <w:instrText>XE "ODOMZO"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 For females of reproductive potential, pregnancy has been ruled out with a negative pregnancy test result.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ONFI (Clobazam)</w:t>
      </w:r>
      <w:r>
        <w:rPr/>
        <mc:AlternateContent>
          <mc:Choice Requires="wps">
            <w:drawing>
              <wp:inline>
                <wp:extent cx="6959600" cy="3175"/>
                <wp:docPr id="17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ONFI ORAL SUSPENSION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ONFI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 20 MG</w:t>
      </w:r>
      <w:r>
        <w:rPr/>
        <w:fldChar w:fldCharType="begin"/>
      </w:r>
      <w:r>
        <w:rPr/>
        <w:instrText>XE "ONFI ORAL SUSPENSION"</w:instrText>
      </w:r>
      <w:r>
        <w:rPr/>
        <w:fldChar w:fldCharType="end"/>
      </w:r>
      <w:r>
        <w:rPr/>
        <w:fldChar w:fldCharType="begin"/>
      </w:r>
      <w:r>
        <w:rPr/>
        <w:instrText>XE "ONFI ORAL TABLET 10 MG, 20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Opsumit Pending CMS Approval</w:t>
      </w:r>
      <w:r>
        <w:rPr/>
        <mc:AlternateContent>
          <mc:Choice Requires="wps">
            <w:drawing>
              <wp:inline>
                <wp:extent cx="6959600" cy="3175"/>
                <wp:docPr id="17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OPSUMIT</w:t>
      </w:r>
      <w:r>
        <w:rPr/>
        <w:fldChar w:fldCharType="begin"/>
      </w:r>
      <w:r>
        <w:rPr/>
        <w:instrText>XE "OPSUMIT"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Clinically diagnosed with pulmonary arterial hypertension WHO Group 1 that was confirmed by right heart catherization. Patient has WHO Functional Class II - IV symptoms, AND Patient is not using tobacco products, AND The patient has had a vasoreactivity test unless the provider indicates that the patient has a contraindication to the test or indicates clinical inappropriateness to the vasoreactivity test, AND Must have tried and failed or has a contraindication to the use of a calcium channel blocker if they have a positive vasoreactivity test, AND If functional class II or III, must have tried and failed or intolerant to sildenafil, or provide documentation as to why contraindicated to initiation of sildenafil.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at least 18 years of age</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 pulmonologist, a cardiologist, or a physician specializing in pulmonary arterial hypertension.</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Orenitram Pending CMS Approval</w:t>
      </w:r>
      <w:r>
        <w:rPr/>
        <mc:AlternateContent>
          <mc:Choice Requires="wps">
            <w:drawing>
              <wp:inline>
                <wp:extent cx="6959600" cy="3175"/>
                <wp:docPr id="17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ORENITRAM ORAL TABLET EXTENDED RELEASE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0.125 MG, 0.25 MG, 1 MG, 2.5 MG</w:t>
      </w:r>
      <w:r>
        <w:rPr/>
        <w:fldChar w:fldCharType="begin"/>
      </w:r>
      <w:r>
        <w:rPr/>
        <w:instrText>XE "ORENITRAM ORAL TABLET EXTENDED RELEASE 0.125 MG, 0.25 MG, 1 MG, 2.5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Patient has a diagnosis of PAH (WHO Group I) WHO/NYHA Class IV patients OR 1.) Patient has a diagnosis of PAH (WHO Group I) WHO/NYHA Class II-IIl who do not respond adequately to, are unable to tolerate, or are not candidates for endothelin receptor antagonists (e.g. TRACLEER [bosentan] or LETAIRIS [ambrisentan]) and phosphodiesterase-5 (PDE-5) inhibitors (e.g. REVATIO [sildenafil], ADCIRCA [tadalafil]).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at least 18 years of age.</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 pulmonologist or a cardiologist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Medication is eligible for B vs. D determination</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ORFADIN (Nitisinone)</w:t>
      </w:r>
      <w:r>
        <w:rPr/>
        <mc:AlternateContent>
          <mc:Choice Requires="wps">
            <w:drawing>
              <wp:inline>
                <wp:extent cx="6959600" cy="3175"/>
                <wp:docPr id="17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ORFADIN ORAL CAPSULE</w:t>
      </w:r>
      <w:r>
        <w:rPr/>
        <w:fldChar w:fldCharType="begin"/>
      </w:r>
      <w:r>
        <w:rPr/>
        <w:instrText>XE "ORFADIN ORAL CAPSULE"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Medical statement of diagnosis of hereditary tyrosinemia type 1 (HT-1) AND current patient weight as dose must be within FDA approved dosing range: maximum dosage for all patients is 2 mg/kg/day. When initiating therapy, Serum tyrosine  should be below 500 mmol/L to avoid toxic effects, and urinary succinylacetone levels should be undetectable.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ORKAMBI (lumacaftor-ivacaftor)</w:t>
      </w:r>
      <w:r>
        <w:rPr/>
        <mc:AlternateContent>
          <mc:Choice Requires="wps">
            <w:drawing>
              <wp:inline>
                <wp:extent cx="6959600" cy="3175"/>
                <wp:docPr id="17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ORKAMBI</w:t>
      </w:r>
      <w:r>
        <w:rPr/>
        <w:fldChar w:fldCharType="begin"/>
      </w:r>
      <w:r>
        <w:rPr/>
        <w:instrText>XE "ORKAMBI"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Use in combination with Kalydeco</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The patient is positive for the F508del mutation on both alleles of the CFTR gene.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6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OSPHENA (ospemifene)</w:t>
      </w:r>
      <w:r>
        <w:rPr/>
        <mc:AlternateContent>
          <mc:Choice Requires="wps">
            <w:drawing>
              <wp:inline>
                <wp:extent cx="6959600" cy="3175"/>
                <wp:docPr id="17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OSPHENA</w:t>
      </w:r>
      <w:r>
        <w:rPr/>
        <w:fldChar w:fldCharType="begin"/>
      </w:r>
      <w:r>
        <w:rPr/>
        <w:instrText>XE "OSPHENA"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Plan documents must show coverage for sexual dysfunction medications. Must have diagnosis of moderate to severe dyspareunia caused by vulvovaginal atrophy and documented trial with an OTC vaginal lubricant as well as a vaginal estrogen product for at least 90 days.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Otezla</w:t>
      </w:r>
      <w:r>
        <w:rPr/>
        <mc:AlternateContent>
          <mc:Choice Requires="wps">
            <w:drawing>
              <wp:inline>
                <wp:extent cx="6959600" cy="3175"/>
                <wp:docPr id="17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OTEZLA</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OTEZLA STARTER</w:t>
      </w:r>
      <w:r>
        <w:rPr/>
        <w:fldChar w:fldCharType="begin"/>
      </w:r>
      <w:r>
        <w:rPr/>
        <w:instrText>XE "OTEZLA"</w:instrText>
      </w:r>
      <w:r>
        <w:rPr/>
        <w:fldChar w:fldCharType="end"/>
      </w:r>
      <w:r>
        <w:rPr/>
        <w:fldChar w:fldCharType="begin"/>
      </w:r>
      <w:r>
        <w:rPr/>
        <w:instrText>XE "OTEZLA STARTER"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trial and failure of preferred TNF inhibitors (Enbrel and Humira)AND patient is free of any clinically important active infections.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Oxandrolone (OXANDRIN)</w:t>
      </w:r>
      <w:r>
        <w:rPr/>
        <mc:AlternateContent>
          <mc:Choice Requires="wps">
            <w:drawing>
              <wp:inline>
                <wp:extent cx="6959600" cy="3175"/>
                <wp:docPr id="17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oxandrolone oral tablet</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10 mg, 2.5 mg</w:t>
      </w:r>
      <w:r>
        <w:rPr/>
        <w:fldChar w:fldCharType="begin"/>
      </w:r>
      <w:r>
        <w:rPr/>
        <w:instrText>XE "oxandrolone oral tablet 10 mg, 2.5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medically accepted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 Category X</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Statement indicating use to promote weight gain after weight loss following extensive surgery, chronic infections, or severe trauma, and in some patients who without definite pathophysiologic reasons fail to gain or to maintain normal weight, and to offset the protein catabolism associated with prolonged administration of corticosteroids. Statement indicating use for orphan drug indication, short stature associated with Turner syndrome, constitutional delay of growth and puberty, moderate or severe acute alcoholic hepatitis, Duchenne and Becker muscular dystrophy. Initial Therapy for AIDS Wasting: Diagnosis of AIDS wasting/cachexia. For treatment of anorexia associated with weight loss in patients with HIV: 1. Patient is receiving AIDS anti-retroviral therapy AND 2. experienced as least a. 7.5% unintentional weight loss over 6 months b. 10% unintentional weight loss over 12 months c. 5% body cell mass (BCM) loss within 6 months d. BMI less than 20 kg/m2 e. BCM less than 35% male (less than 23% female) and a BMI less than27 kg/m2 AND 3. documentation of trial and failure, contraindication, or intolerance to megestrol at doses up to 800mg daily.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HIV Wasting: 3 months. All other indications: Through the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Oxervate (cenegermin)</w:t>
      </w:r>
      <w:r>
        <w:rPr/>
        <mc:AlternateContent>
          <mc:Choice Requires="wps">
            <w:drawing>
              <wp:inline>
                <wp:extent cx="6959600" cy="3175"/>
                <wp:docPr id="18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OXERVATE</w:t>
      </w:r>
      <w:r>
        <w:rPr/>
        <w:fldChar w:fldCharType="begin"/>
      </w:r>
      <w:r>
        <w:rPr/>
        <w:instrText>XE "OXERVATE"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Member has a diagnosis (documented in chart notes) of stage 2 (recurrent/persistent epithelial defect) or stage 3 (corneal ulcer) neurotrophic keratitis in the affected eye(s) AND Member is refractory to at least ONE conventional non-surgical treatment for neurotrophic keratitis (e.g. preservative-free artificial tears, topical antibiotic eyedrops, therapeutic contact lenses, etc.)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Member is 2 years of age or older </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The medication is prescribed by an ophthalmologist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8 weeks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Oxycodone ER (OXYCONTIN)</w:t>
      </w:r>
      <w:r>
        <w:rPr/>
        <mc:AlternateContent>
          <mc:Choice Requires="wps">
            <w:drawing>
              <wp:inline>
                <wp:extent cx="6959600" cy="3175"/>
                <wp:docPr id="18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oxycodone oral tablet,oral only,ext.rel.12 hr</w:t>
      </w:r>
      <w:r>
        <w:rPr/>
        <w:fldChar w:fldCharType="begin"/>
      </w:r>
      <w:r>
        <w:rPr/>
        <w:instrText>XE "oxycodone oral tablet,oral only,ext.rel.12 hr"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Patient is being treated for substance abuse (including treatment with buprenorphine or buprenorphine-naloxone).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along with current and past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An adequate trial of or documented intolerance to morphine sustained-release and oxymorphone sustained-release is required. For quantity greater than 2 per day or a combined opiate dose of 120 MEQ or greater (in additional to all other criteria) patient must have a clinically documented medical need for the increased quantity and/or large dose and must have tried and failed the standard approved dosing, frequency, and duration. For continuation of therapy clinical documentation must show the following: 1) the patient's pain has been recently re-assessed and there continues to be a medical need for the medication, 2) the patient is tolerating and responding to medication, 3) the patient has improved functioning and is meeting treatment goals, and 4) patient is not exhibiting addictive behaviors and is not being treated for substance abuse.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PALYNZIQ (pegvaliase-pqpz)</w:t>
      </w:r>
      <w:r>
        <w:rPr/>
        <mc:AlternateContent>
          <mc:Choice Requires="wps">
            <w:drawing>
              <wp:inline>
                <wp:extent cx="6959600" cy="3175"/>
                <wp:docPr id="18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PALYNZIQ</w:t>
      </w:r>
      <w:r>
        <w:rPr/>
        <w:fldChar w:fldCharType="begin"/>
      </w:r>
      <w:r>
        <w:rPr/>
        <w:instrText>XE "PALYNZIQ"</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Not to be used in combination with sapropterin dihydrochloride (Kuvan)</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Phenylketonuria (PKU), AND blood phenylalanine concentration greater than 600 micromol/L, AND physician agrees to assess patient tolerability, blood phenylalanine concentration, dietary protein and phenylalanine intake throughout treatment, AND prescriber and patient must be enrolled with the Palynziq REMS Program.</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PAMIDRONATE</w:t>
      </w:r>
      <w:r>
        <w:rPr/>
        <mc:AlternateContent>
          <mc:Choice Requires="wps">
            <w:drawing>
              <wp:inline>
                <wp:extent cx="6959600" cy="3175"/>
                <wp:docPr id="18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pamidronate</w:t>
      </w:r>
      <w:r>
        <w:rPr/>
        <w:fldChar w:fldCharType="begin"/>
      </w:r>
      <w:r>
        <w:rPr/>
        <w:instrText>XE "pamidronate"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 and treatment history. For treatment of hypercalcemia of malignancy, documentation of corrected total serum calcium greater than or equal to 12 mg/dL. For treament of bone metastases, diagnosis of breast cancer or multiple myeloma. For Paget's disease, must have symptomatic form of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Paget's disease, must have documented failure, intolerance or contraindication to oral agents: alendronate or risedronate.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PANRETIN (Alitretinoin)</w:t>
      </w:r>
      <w:r>
        <w:rPr/>
        <mc:AlternateContent>
          <mc:Choice Requires="wps">
            <w:drawing>
              <wp:inline>
                <wp:extent cx="6959600" cy="3175"/>
                <wp:docPr id="18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PANRETIN</w:t>
      </w:r>
      <w:r>
        <w:rPr/>
        <w:fldChar w:fldCharType="begin"/>
      </w:r>
      <w:r>
        <w:rPr/>
        <w:instrText>XE "PANRETIN"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HIV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paricalcitol (ZEMPLAR)</w:t>
      </w:r>
      <w:r>
        <w:rPr/>
        <mc:AlternateContent>
          <mc:Choice Requires="wps">
            <w:drawing>
              <wp:inline>
                <wp:extent cx="6959600" cy="3175"/>
                <wp:docPr id="18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paricalcitol oral</w:t>
      </w:r>
      <w:r>
        <w:rPr/>
        <w:fldChar w:fldCharType="begin"/>
      </w:r>
      <w:r>
        <w:rPr/>
        <w:instrText>XE "paricalcitol oral"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Documented failure or intolerance to calcitriol.</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PCSK9 Pending CMS Approval</w:t>
      </w:r>
      <w:r>
        <w:rPr/>
        <mc:AlternateContent>
          <mc:Choice Requires="wps">
            <w:drawing>
              <wp:inline>
                <wp:extent cx="6959600" cy="3175"/>
                <wp:docPr id="18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REPATHA PUSHTRONEX</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REPATHA SURECLICK</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REPATHA SYRINGE</w:t>
      </w:r>
      <w:r>
        <w:rPr/>
        <w:fldChar w:fldCharType="begin"/>
      </w:r>
      <w:r>
        <w:rPr/>
        <w:instrText>XE "REPATHA PUSHTRONEX"</w:instrText>
      </w:r>
      <w:r>
        <w:rPr/>
        <w:fldChar w:fldCharType="end"/>
      </w:r>
      <w:r>
        <w:rPr/>
        <w:fldChar w:fldCharType="begin"/>
      </w:r>
      <w:r>
        <w:rPr/>
        <w:instrText>XE "REPATHA SURECLICK"</w:instrText>
      </w:r>
      <w:r>
        <w:rPr/>
        <w:fldChar w:fldCharType="end"/>
      </w:r>
      <w:r>
        <w:rPr/>
        <w:fldChar w:fldCharType="begin"/>
      </w:r>
      <w:r>
        <w:rPr/>
        <w:instrText>XE "REPATHA SYRINGE"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(e.g., chart notes, laboratory values) required for "initial" authorization includes: 1. Documentation of one of the following diagnoses: A) Homozygous familial hypercholesterolemia (HoFH), B) Heterozygous familial hypercholesterolemia (HeFH), OR C) Atherosclerotic cardiovascular disease (ASCVD), AND 2. Documentation of any one of the following: a) Patient has been receiving at least 12 consecutive weeks of high intensity statin therapy and will continue to receive high-intensity statin at maximally tolerated dose, b) If unable to tolerate a high intensity statin, patient has been receiving at least 12 consecutive weeks of statin therapy at a maximally tolerated dose and will continue to receive statin at maximally tolerated dose (a maximally tolerated dose may include alternative dosing strategies such as every other day or once weekly dosing) c) Patient has a documented labeled contraindication to all statins, d) Patient has experienced rhabdomyolysis, AND 3. Documentation of and one of the following a) The patient is on ezetimibe, b) Patient has a document contraindication to ezetimibe, c) The patient's LDL is elevated to an extent that ezetimibe will be unable to bring them to goal ( greater than 120% percent guideline recomended goal). Clinical documentation required for "reauthorization" includes: 1. Patient continues to  remain adherent to statin at maximally tolerated dose (unless patient has documented inability to take statins) and ezetimibe, 2. Submission of medical records documenting LDL-C reduction while on Repatha therapy (40% LDL-C reduction).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HeFH, ASCVD: 18 years and older. HoFH: 13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or recommendation of, a Cardiologist, Endocrinologist, Lipid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Authorization will be for 6 months. Reauthorization will be for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Other Criteria: A) HoFH: Patient meets one of the following: a) Patient has genetic confirmation of two mutant alleles at LDLR, APOB, PCSK9 or LDLRAP1 gene locus OR b) Patient has an untreated LDL-C level greater than 500 mg/dL (prior to treatment with antihyperlipidemic agents) OR c) Patient has a treated LDL-C level greater than or equal to 300 mg/dL (after treatment with antihyperlipidemic agents but prior to agents such as Repatha, Kynamro, or Juxtapid OR d) Patient has clinical manifestations of HoFH (e.g., cutaneous xanthomas, tendon xanthomas, arcus cornea, tuberous xanthomas or xanthelasma B) HeFH: The patient has a low-density lipoprotein cholesterol (LDL-C level) greater than or equal to 160 mg/dL (after treatment with antihyperlipidemic agents but prior to PCSK9 inhibitor therapy. C) ASCVD: The patient has a low-density lipoprotein cholesterol (LDL-C) greater than or equal to 70 mg/dL (after treatment with antihyperlipidemic agents but prior to PCSK9 inhibitor therapy. ASCVD diagnosis is confirmed by one of the following: acute coronary syndromes, history of myocardial infarction, stable or unstable angina, coronary or other arterial revascularization, stroke, transient ischemic attack, peripheral arterial disease presumed to be of atherosclerotic origin. Examples of high-intensity statin therapy include atorvastatin 40-80 mg, Crestor (rosuvastatin) 20-40 mg. Examples of moderate-intensity statin therapy include atorvastatin 10-20 mg, Crestor (rosuvastatin) 5-10 mg, simvastatin greater than or equal to 20 mg, pravastatin greater than or equal 40 mg, lovastatin 40 mg, Lescol XL (fluvastatin XL) 80 mg, or fluvastatin 40 mg twice daily. </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PEGYLATED INTERFERONS</w:t>
      </w:r>
      <w:r>
        <w:rPr/>
        <mc:AlternateContent>
          <mc:Choice Requires="wps">
            <w:drawing>
              <wp:inline>
                <wp:extent cx="6959600" cy="3175"/>
                <wp:docPr id="18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PEGASYS SUBCUTANEOUS SOLUTION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PEGASYS SUBCUTANEOUS SYRINGE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PEGINTRON SUBCUTANEOUS KIT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50 MCG/0.5 ML</w:t>
      </w:r>
      <w:r>
        <w:rPr/>
        <w:fldChar w:fldCharType="begin"/>
      </w:r>
      <w:r>
        <w:rPr/>
        <w:instrText>XE "PEGASYS SUBCUTANEOUS SOLUTION"</w:instrText>
      </w:r>
      <w:r>
        <w:rPr/>
        <w:fldChar w:fldCharType="end"/>
      </w:r>
      <w:r>
        <w:rPr/>
        <w:fldChar w:fldCharType="begin"/>
      </w:r>
      <w:r>
        <w:rPr/>
        <w:instrText>XE "PEGASYS SUBCUTANEOUS SYRINGE"</w:instrText>
      </w:r>
      <w:r>
        <w:rPr/>
        <w:fldChar w:fldCharType="end"/>
      </w:r>
      <w:r>
        <w:rPr/>
        <w:fldChar w:fldCharType="begin"/>
      </w:r>
      <w:r>
        <w:rPr/>
        <w:instrText>XE "PEGINTRON SUBCUTANEOUS KIT 50 MCG/0.5 ML"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medically accepted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Uncontrolled depression. Autoimmune hepatitis. Known hypersensitivity reactions (urticaria, angioedema, bronchoconstriction, anaphylaxis, or Stevens-Johnson syndrome) to alpha interferons or any of its components. Hepatic decompensation in cirrhotic patients.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All patients with hepatitis C or hepatitis B, peginterferon must be prescribed by an infectious disease physician, gastroenterologist, hepatologist, or a transplant physician or in consultation with these physicians</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Weeks to 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Penicillamine capsule </w:t>
      </w:r>
      <w:r>
        <w:rPr/>
        <mc:AlternateContent>
          <mc:Choice Requires="wps">
            <w:drawing>
              <wp:inline>
                <wp:extent cx="6959600" cy="3175"/>
                <wp:docPr id="18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penicillamine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PENICILLAMINE ORAL TABLET</w:t>
      </w:r>
      <w:r>
        <w:rPr/>
        <w:fldChar w:fldCharType="begin"/>
      </w:r>
      <w:r>
        <w:rPr/>
        <w:instrText>XE "penicillamine oral capsule"</w:instrText>
      </w:r>
      <w:r>
        <w:rPr/>
        <w:fldChar w:fldCharType="end"/>
      </w:r>
      <w:r>
        <w:rPr/>
        <w:fldChar w:fldCharType="begin"/>
      </w:r>
      <w:r>
        <w:rPr/>
        <w:instrText>XE "PENICILLAMINE ORAL TABLET"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PERFOROMIST (Formoterol)</w:t>
      </w:r>
      <w:r>
        <w:rPr/>
        <mc:AlternateContent>
          <mc:Choice Requires="wps">
            <w:drawing>
              <wp:inline>
                <wp:extent cx="6959600" cy="3175"/>
                <wp:docPr id="18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PERFOROMIST</w:t>
      </w:r>
      <w:r>
        <w:rPr/>
        <w:fldChar w:fldCharType="begin"/>
      </w:r>
      <w:r>
        <w:rPr/>
        <w:instrText>XE "PERFOROMIST"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Inhalation Solution: 18 years and older. Dry Powder Inhalation: 5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have documented failure, intolerance or contraindication to a long-acting beta agonist formulary product OR be unable to use a hand-actuated device.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Perseris (risperidone)</w:t>
      </w:r>
      <w:r>
        <w:rPr/>
        <mc:AlternateContent>
          <mc:Choice Requires="wps">
            <w:drawing>
              <wp:inline>
                <wp:extent cx="6959600" cy="3175"/>
                <wp:docPr id="19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PERSERIS</w:t>
      </w:r>
      <w:r>
        <w:rPr/>
        <w:fldChar w:fldCharType="begin"/>
      </w:r>
      <w:r>
        <w:rPr/>
        <w:instrText>XE "PERSERIS"</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trial of any of the two following drugs: aripiprazole, clozapine, olanzapine, risperidone, quetiapine, ziprasidone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the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PICATO (Ingenol Mebutate)</w:t>
      </w:r>
      <w:r>
        <w:rPr/>
        <mc:AlternateContent>
          <mc:Choice Requires="wps">
            <w:drawing>
              <wp:inline>
                <wp:extent cx="6959600" cy="3175"/>
                <wp:docPr id="19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PICATO</w:t>
      </w:r>
      <w:r>
        <w:rPr/>
        <w:fldChar w:fldCharType="begin"/>
      </w:r>
      <w:r>
        <w:rPr/>
        <w:instrText>XE "PICATO"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have failed 5-FU cream</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Piqray (alpelisib)</w:t>
      </w:r>
      <w:r>
        <w:rPr/>
        <mc:AlternateContent>
          <mc:Choice Requires="wps">
            <w:drawing>
              <wp:inline>
                <wp:extent cx="6959600" cy="3175"/>
                <wp:docPr id="19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PIQRAY</w:t>
      </w:r>
      <w:r>
        <w:rPr/>
        <w:fldChar w:fldCharType="begin"/>
      </w:r>
      <w:r>
        <w:rPr/>
        <w:instrText>XE "PIQRAY"</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patient is a postmenopausal female or a male AND has advanced or metastatic breast cancer AND has HR-positive disease AND has HER2-negative disease AND has PIK3CA-mutated breast cancer as detected by a FDA approved test AND has progressed on or after at least one prior endocrine-based regimen AND the medication will be used in combination with fulvestrant.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Plegridy (Peginterferon beta-1a)</w:t>
      </w:r>
      <w:r>
        <w:rPr/>
        <mc:AlternateContent>
          <mc:Choice Requires="wps">
            <w:drawing>
              <wp:inline>
                <wp:extent cx="6959600" cy="3175"/>
                <wp:docPr id="19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PLEGRIDY</w:t>
      </w:r>
      <w:r>
        <w:rPr/>
        <w:fldChar w:fldCharType="begin"/>
      </w:r>
      <w:r>
        <w:rPr/>
        <w:instrText>XE "PLEGRIDY"</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member has been diagnosed with relapsing forms of multiple sclerosis (MS), to include clinically isolated syndrome, relapsing-remitting disease, and active secondary progressive disease, in adults.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Age 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Neurologist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POMALYST (Pomalidomide)</w:t>
      </w:r>
      <w:r>
        <w:rPr/>
        <mc:AlternateContent>
          <mc:Choice Requires="wps">
            <w:drawing>
              <wp:inline>
                <wp:extent cx="6959600" cy="3175"/>
                <wp:docPr id="19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POMALYST</w:t>
      </w:r>
      <w:r>
        <w:rPr/>
        <w:fldChar w:fldCharType="begin"/>
      </w:r>
      <w:r>
        <w:rPr/>
        <w:instrText>XE "POMALYST"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Patient has a diagnosis of multiple myleoma and the patient has received two prior therapies, including Revlimid and Velcade unless the patient has a contraindication or intolerance to Revlimid or Velcade and the patient has demonstrated disease progression on or within 60 days of completion of last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Prescriber, pharmacist, and patient must be enrolled in the Pomalyst REMS program.</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Poteligeo</w:t>
      </w:r>
      <w:r>
        <w:rPr/>
        <mc:AlternateContent>
          <mc:Choice Requires="wps">
            <w:drawing>
              <wp:inline>
                <wp:extent cx="6959600" cy="3175"/>
                <wp:docPr id="19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POTELIGEO</w:t>
      </w:r>
      <w:r>
        <w:rPr/>
        <w:fldChar w:fldCharType="begin"/>
      </w:r>
      <w:r>
        <w:rPr/>
        <w:instrText>XE "POTELIGEO"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relapsed or refractory mycosis fungoides (MF) or Sézary syndrome (SS) after at least one prior systemic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Pramipexole ER (MIRAPEX ER)</w:t>
      </w:r>
      <w:r>
        <w:rPr/>
        <mc:AlternateContent>
          <mc:Choice Requires="wps">
            <w:drawing>
              <wp:inline>
                <wp:extent cx="6959600" cy="3175"/>
                <wp:docPr id="19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pramipexole oral tablet extended release 24 hr</w:t>
      </w:r>
      <w:r>
        <w:rPr/>
        <w:fldChar w:fldCharType="begin"/>
      </w:r>
      <w:r>
        <w:rPr/>
        <w:instrText>XE "pramipexole oral tablet extended release 24 hr"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Failure to pramipexole IR </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Prevacid SoluTab (lansoprazole)</w:t>
      </w:r>
      <w:r>
        <w:rPr/>
        <mc:AlternateContent>
          <mc:Choice Requires="wps">
            <w:drawing>
              <wp:inline>
                <wp:extent cx="6959600" cy="3175"/>
                <wp:docPr id="19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PREVACID SOLUTAB</w:t>
      </w:r>
      <w:r>
        <w:rPr/>
        <w:fldChar w:fldCharType="begin"/>
      </w:r>
      <w:r>
        <w:rPr/>
        <w:instrText>XE "PREVACID SOLUTAB"</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that the patient is unable to swallow solid oral dosage forms.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PROMACTA (Eltrombopag Olamine)</w:t>
      </w:r>
      <w:r>
        <w:rPr/>
        <mc:AlternateContent>
          <mc:Choice Requires="wps">
            <w:drawing>
              <wp:inline>
                <wp:extent cx="6959600" cy="3175"/>
                <wp:docPr id="19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PROMACTA ORAL POWDER IN PACKET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12.5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PROMACTA ORAL TABLET</w:t>
      </w:r>
      <w:r>
        <w:rPr/>
        <w:fldChar w:fldCharType="begin"/>
      </w:r>
      <w:r>
        <w:rPr/>
        <w:instrText>XE "PROMACTA ORAL POWDER IN PACKET 12.5 MG"</w:instrText>
      </w:r>
      <w:r>
        <w:rPr/>
        <w:fldChar w:fldCharType="end"/>
      </w:r>
      <w:r>
        <w:rPr/>
        <w:fldChar w:fldCharType="begin"/>
      </w:r>
      <w:r>
        <w:rPr/>
        <w:instrText>XE "PROMACTA ORAL TABLET"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Relapsed/refractory chronic immune (idiopathic) thrombocytopenic purpura (ITP) for greater than 6 months AND Baseline platelet count is less than 50,000/mcL AND Degree of thrombocytopenia and clinical condition increase the risk of bleeding AND Patient had an insufficient response, intolerance, contraindication to corticosteroids or immune globulin or inadequate response or contraindication to splenectomy, or B) Chronic hepatitis C and patient has thrombocytopenia defined as platelets less than 90,000/mcL for initiation (pre-treatment) of interferon therapy, or C) Severe aplastic anemia and patient has insufficient response to immunosupressive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PROTOPIC (tacrolimus topical)</w:t>
      </w:r>
      <w:r>
        <w:rPr/>
        <mc:AlternateContent>
          <mc:Choice Requires="wps">
            <w:drawing>
              <wp:inline>
                <wp:extent cx="6959600" cy="3175"/>
                <wp:docPr id="19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tacrolimus topical</w:t>
      </w:r>
      <w:r>
        <w:rPr/>
        <w:fldChar w:fldCharType="begin"/>
      </w:r>
      <w:r>
        <w:rPr/>
        <w:instrText>XE "tacrolimus topical"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16 years and older (0.1%) or 2 years and older (0.03%)</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8 weeks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PULMOZYME (Dornase Alfa)</w:t>
      </w:r>
      <w:r>
        <w:rPr/>
        <mc:AlternateContent>
          <mc:Choice Requires="wps">
            <w:drawing>
              <wp:inline>
                <wp:extent cx="6959600" cy="3175"/>
                <wp:docPr id="20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PULMOZYME</w:t>
      </w:r>
      <w:r>
        <w:rPr/>
        <w:fldChar w:fldCharType="begin"/>
      </w:r>
      <w:r>
        <w:rPr/>
        <w:instrText>XE "PULMOZYME"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Cystic Fibrosis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Pulmozyme should be used in conjunction with standard therapies for CF. For renewal, Patient is benefiting from treatment (i.e. improvement in lung function [FEV1], decreased number of pulmonary exacerbations).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REGRANEX (Becaplermin)</w:t>
      </w:r>
      <w:r>
        <w:rPr/>
        <mc:AlternateContent>
          <mc:Choice Requires="wps">
            <w:drawing>
              <wp:inline>
                <wp:extent cx="6959600" cy="3175"/>
                <wp:docPr id="20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REGRANEX</w:t>
      </w:r>
      <w:r>
        <w:rPr/>
        <w:fldChar w:fldCharType="begin"/>
      </w:r>
      <w:r>
        <w:rPr/>
        <w:instrText>XE "REGRANEX"</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16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RELENZA (Zanamivir)</w:t>
      </w:r>
      <w:r>
        <w:rPr/>
        <mc:AlternateContent>
          <mc:Choice Requires="wps">
            <w:drawing>
              <wp:inline>
                <wp:extent cx="6959600" cy="3175"/>
                <wp:docPr id="20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RELENZA DISKHALER</w:t>
      </w:r>
      <w:r>
        <w:rPr/>
        <w:fldChar w:fldCharType="begin"/>
      </w:r>
      <w:r>
        <w:rPr/>
        <w:instrText>XE "RELENZA DISKHALER"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 (up to 28 days)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Remodulin Pending CMS Approval</w:t>
      </w:r>
      <w:r>
        <w:rPr/>
        <mc:AlternateContent>
          <mc:Choice Requires="wps">
            <w:drawing>
              <wp:inline>
                <wp:extent cx="6959600" cy="3175"/>
                <wp:docPr id="20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REMODULIN</w:t>
      </w:r>
      <w:r>
        <w:rPr/>
        <w:fldChar w:fldCharType="begin"/>
      </w:r>
      <w:r>
        <w:rPr/>
        <w:instrText>XE "REMODULIN"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Patient has a diagnosis of PAH (WHO Group I) WHO/NYHA Class IV patients OR 1.) Patient has a diagnosis of PAH (WHO Group I) WHO/NYHA Class II-IIl who do not respond adequately to, are unable to tolerate, or are not candidates for endothelin receptor antagonists (e.g. TRACLEER [bosentan] or LETAIRIS [ambrisentan]) and phosphodiesterase-5 (PDE-5) inhibitors (e.g. REVATIO [sildenafil], ADCIRCA [tadalafil]).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at least 18 years of age.</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a pulmonologist or a cardiologist.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REVLIMID (Lenalidomide)</w:t>
      </w:r>
      <w:r>
        <w:rPr/>
        <mc:AlternateContent>
          <mc:Choice Requires="wps">
            <w:drawing>
              <wp:inline>
                <wp:extent cx="6959600" cy="3175"/>
                <wp:docPr id="20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REVLIMID</w:t>
      </w:r>
      <w:r>
        <w:rPr/>
        <w:fldChar w:fldCharType="begin"/>
      </w:r>
      <w:r>
        <w:rPr/>
        <w:instrText>XE "REVLIMID"</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 (category X)</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Multiple myeloma used in combination with dexamethasone, or B) Diagnosis of transfusion-dependent anemia due to low- or intermediate-1-risk myelodysplastic syndromes associated with a deletion 5q cytogenetic abnormality with or without additional cytogenetic abnormalities, or C) Mantle cell lymphoma and patient's disease has relapsed or progressed after trying at least two prior therapies (Velcade and one of the following: bendamustine, cladribine, fludarabine, rituximab) AND patient is enrolled in the Revlimid REMS Program.</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Hematologist/oncologist. Registered in Revlimid REMS.</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Reyvow (lasmiditan)</w:t>
      </w:r>
      <w:r>
        <w:rPr/>
        <mc:AlternateContent>
          <mc:Choice Requires="wps">
            <w:drawing>
              <wp:inline>
                <wp:extent cx="6959600" cy="3175"/>
                <wp:docPr id="20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REYVOW</w:t>
      </w:r>
      <w:r>
        <w:rPr/>
        <w:fldChar w:fldCharType="begin"/>
      </w:r>
      <w:r>
        <w:rPr/>
        <w:instrText>XE "REYVOW"</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will be used for the acute treatment of migraine with or without aura in adults AND the member has tried and failed three alternatives two of which were triptans, unless contraindicated.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 </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Reauthorization requires documentation of medication efficacy.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RIBAVIRIN</w:t>
      </w:r>
      <w:r>
        <w:rPr/>
        <mc:AlternateContent>
          <mc:Choice Requires="wps">
            <w:drawing>
              <wp:inline>
                <wp:extent cx="6959600" cy="3175"/>
                <wp:docPr id="20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ribavirin oral capsule</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ribavirin oral tablet</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200 mg</w:t>
      </w:r>
      <w:r>
        <w:rPr/>
        <w:fldChar w:fldCharType="begin"/>
      </w:r>
      <w:r>
        <w:rPr/>
        <w:instrText>XE "ribavirin oral capsule"</w:instrText>
      </w:r>
      <w:r>
        <w:rPr/>
        <w:fldChar w:fldCharType="end"/>
      </w:r>
      <w:r>
        <w:rPr/>
        <w:fldChar w:fldCharType="begin"/>
      </w:r>
      <w:r>
        <w:rPr/>
        <w:instrText>XE "ribavirin oral tablet 200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 (up to 48 weeks)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RISPERDAL CONSTRA (risperidone)</w:t>
      </w:r>
      <w:r>
        <w:rPr/>
        <mc:AlternateContent>
          <mc:Choice Requires="wps">
            <w:drawing>
              <wp:inline>
                <wp:extent cx="6959600" cy="3175"/>
                <wp:docPr id="20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RISPERDAL CONSTA</w:t>
      </w:r>
      <w:r>
        <w:rPr/>
        <w:fldChar w:fldCharType="begin"/>
      </w:r>
      <w:r>
        <w:rPr/>
        <w:instrText>XE "RISPERDAL CONSTA"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 Documented trial of any of the two following drugs: aripiprazole, clozapine, olanzapine, risperidone, quetiapine, ziprasidone.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be unable or unwilling to tolerate oral medications.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SABRIL (Vigabatrin)</w:t>
      </w:r>
      <w:r>
        <w:rPr/>
        <mc:AlternateContent>
          <mc:Choice Requires="wps">
            <w:drawing>
              <wp:inline>
                <wp:extent cx="6959600" cy="3175"/>
                <wp:docPr id="20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vigabatrin oral powder in packet</w:t>
      </w:r>
      <w:r>
        <w:rPr/>
        <w:fldChar w:fldCharType="begin"/>
      </w:r>
      <w:r>
        <w:rPr/>
        <w:instrText>XE "vigabatrin oral powder in packet"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of  refractory complex partial seizures (CPS) or infantile spasms (IS). Previously tried and failed two medications for the diagnosis of refractory complex partial seizures including carbamazepine, ethotoin, felbamate, fosphenytoin, gabapentin, lacosamide, lamotrigine, levetiracetam, oxcarbazepine, phenytoin, pregabalin, primidone, tiagabine, topiramate, valproic acid, divalproex sodium, zonisamide.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10 years and older for CPS diagnosis. Children aged 1 month to 2 years old for IS.</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Neurologist registered with the Sabril REMS program</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SAMSCA (Tolvaptan)</w:t>
      </w:r>
      <w:r>
        <w:rPr/>
        <mc:AlternateContent>
          <mc:Choice Requires="wps">
            <w:drawing>
              <wp:inline>
                <wp:extent cx="6959600" cy="3175"/>
                <wp:docPr id="20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SAMSCA</w:t>
      </w:r>
      <w:r>
        <w:rPr/>
        <w:fldChar w:fldCharType="begin"/>
      </w:r>
      <w:r>
        <w:rPr/>
        <w:instrText>XE "SAMSCA"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Samsca not approved as an intervention to raise serum sodium urgently to prevent or to treat serious neurological symptoms. Samsca cannot be initiated or re-initiated outside of a hospital setting.</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Serum sodium levels. Initial therapy for hyponatremia (hypervolemic and euvolemic): 1. Diagnosis of significant hyponatremia (euvolemic or hypervolemic), AND 2. Treatment has been initiated or re-initiated in a hospital setting prior to discharge. Reauthorization for hypervolemic and euvolemic hyponatremia: 1. Documentation of clinical benefit, AND 2. Treatment hasbeen initiated or re-initiated in a hospital setting prior to discharge.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 month</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Documentation of trial and failure of fluid restriction required.</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SAPHRIS (Asenapine Maleate )</w:t>
      </w:r>
      <w:r>
        <w:rPr/>
        <mc:AlternateContent>
          <mc:Choice Requires="wps">
            <w:drawing>
              <wp:inline>
                <wp:extent cx="6959600" cy="3175"/>
                <wp:docPr id="21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SAPHRIS</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SECUADO</w:t>
      </w:r>
      <w:r>
        <w:rPr/>
        <w:fldChar w:fldCharType="begin"/>
      </w:r>
      <w:r>
        <w:rPr/>
        <w:instrText>XE "SAPHRIS"</w:instrText>
      </w:r>
      <w:r>
        <w:rPr/>
        <w:fldChar w:fldCharType="end"/>
      </w:r>
      <w:r>
        <w:rPr/>
        <w:fldChar w:fldCharType="begin"/>
      </w:r>
      <w:r>
        <w:rPr/>
        <w:instrText>XE "SECUADO"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Member needs to have documented trial of any of the two following drugs: aripiprazole, clozapine, olanzapine, risperidone, quetiapine, ziprasidone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SEROQUEL XR (Quetiapine)</w:t>
      </w:r>
      <w:r>
        <w:rPr/>
        <mc:AlternateContent>
          <mc:Choice Requires="wps">
            <w:drawing>
              <wp:inline>
                <wp:extent cx="6959600" cy="3175"/>
                <wp:docPr id="21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quetiapine oral tablet extended release 24 hr</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SEROQUEL XR ORAL TABLET EXTENDED RELEASE 24 HR</w:t>
      </w:r>
      <w:r>
        <w:rPr/>
        <w:fldChar w:fldCharType="begin"/>
      </w:r>
      <w:r>
        <w:rPr/>
        <w:instrText>XE "quetiapine oral tablet extended release 24 hr"</w:instrText>
      </w:r>
      <w:r>
        <w:rPr/>
        <w:fldChar w:fldCharType="end"/>
      </w:r>
      <w:r>
        <w:rPr/>
        <w:fldChar w:fldCharType="begin"/>
      </w:r>
      <w:r>
        <w:rPr/>
        <w:instrText>XE "SEROQUEL XR ORAL TABLET EXTENDED RELEASE 24 HR"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10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Documentation of reason why quetiapine IR cannot be used.</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SIGNIFOR (Pasireotide Diaspartate)</w:t>
      </w:r>
      <w:r>
        <w:rPr/>
        <mc:AlternateContent>
          <mc:Choice Requires="wps">
            <w:drawing>
              <wp:inline>
                <wp:extent cx="6959600" cy="3175"/>
                <wp:docPr id="21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SIGNIFOR</w:t>
      </w:r>
      <w:r>
        <w:rPr/>
        <w:fldChar w:fldCharType="begin"/>
      </w:r>
      <w:r>
        <w:rPr/>
        <w:instrText>XE "SIGNIFOR"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Cushing's Disease diagnosis AND pituitary surgery is not an option or has not been curative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patient had a clinically meaningful reduction in 24-hour urinary free cortisol levels and/or improvement in signs or symptoms of the disease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SIGNIFOR LAR (Pasireotide Pamoate)</w:t>
      </w:r>
      <w:r>
        <w:rPr/>
        <mc:AlternateContent>
          <mc:Choice Requires="wps">
            <w:drawing>
              <wp:inline>
                <wp:extent cx="6959600" cy="3175"/>
                <wp:docPr id="21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SIGNIFOR LAR</w:t>
      </w:r>
      <w:r>
        <w:rPr/>
        <w:fldChar w:fldCharType="begin"/>
      </w:r>
      <w:r>
        <w:rPr/>
        <w:instrText>XE "SIGNIFOR LAR"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acromegaly who have had an inadequate response to surgery and/or for whom surgery is not an option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patient's growth hormone level or insulin-like growth factor 1 (IGF-1) level for age and gender has normalized/improved.</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SILDENAFIL (REVATIO)</w:t>
      </w:r>
      <w:r>
        <w:rPr/>
        <mc:AlternateContent>
          <mc:Choice Requires="wps">
            <w:drawing>
              <wp:inline>
                <wp:extent cx="6959600" cy="3175"/>
                <wp:docPr id="21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sildenafil (pulm.hypertension) oral tablet</w:t>
      </w:r>
      <w:r>
        <w:rPr/>
        <w:fldChar w:fldCharType="begin"/>
      </w:r>
      <w:r>
        <w:rPr/>
        <w:instrText>XE "sildenafil (pulm.hypertension) oral tablet"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Should not be used in combination with organic nitrates. This product is only indicated for Pulmonary Hypertension and is not to be used for Erectile Dysfunction.</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Statement of FDA approved diagnosis of pulmonary arterial hypertension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Cardiologist or Pulmonologist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Sofosbuvir/Velpatasvir</w:t>
      </w:r>
      <w:r>
        <w:rPr/>
        <mc:AlternateContent>
          <mc:Choice Requires="wps">
            <w:drawing>
              <wp:inline>
                <wp:extent cx="6959600" cy="3175"/>
                <wp:docPr id="21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sofosbuvir-velpatasvir</w:t>
      </w:r>
      <w:r>
        <w:rPr/>
        <w:fldChar w:fldCharType="begin"/>
      </w:r>
      <w:r>
        <w:rPr/>
        <w:instrText>XE "sofosbuvir-velpatasvir"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Provider must submit medical records documenting the following: 1) medical diagnosis of Chronic Hepatitis C with labs documenting genotype and subtype, AND 2) medical records documenting viral load taken within 6 months of beginning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or in consultation with, a gastroenterologist, hepatologist, or infectious disease physician.</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weeks or as defined by current AASLD/IDSA guidance</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Criteria and coverage durations will be applied consistent with current AASLD/IDSA guidance.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SOMATULINE (Lanreotide Acetate)</w:t>
      </w:r>
      <w:r>
        <w:rPr/>
        <mc:AlternateContent>
          <mc:Choice Requires="wps">
            <w:drawing>
              <wp:inline>
                <wp:extent cx="6959600" cy="3175"/>
                <wp:docPr id="21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SOMATULINE DEPOT</w:t>
      </w:r>
      <w:r>
        <w:rPr/>
        <w:fldChar w:fldCharType="begin"/>
      </w:r>
      <w:r>
        <w:rPr/>
        <w:instrText>XE "SOMATULINE DEPOT"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A) acromegaly AND Inadequate response to surgery and/or radiation therapy or patient cannot be treated with surgery and/or radiotherapy, or B) unresectable, well or moderately differentiated, locally advanced or metastatic gastroenteropancreatic neuroendocrine tumors (GEP-NETs).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 initial. Continuation 6 months if no progression</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patient's IGF-1 levels has normalized or improved.</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SOMAVERT (Pegvisomant)</w:t>
      </w:r>
      <w:r>
        <w:rPr/>
        <mc:AlternateContent>
          <mc:Choice Requires="wps">
            <w:drawing>
              <wp:inline>
                <wp:extent cx="6959600" cy="3175"/>
                <wp:docPr id="21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SOMAVERT</w:t>
      </w:r>
      <w:r>
        <w:rPr/>
        <w:fldChar w:fldCharType="begin"/>
      </w:r>
      <w:r>
        <w:rPr/>
        <w:instrText>XE "SOMAVERT"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SPRYCEL (Dasatinib)</w:t>
      </w:r>
      <w:r>
        <w:rPr/>
        <mc:AlternateContent>
          <mc:Choice Requires="wps">
            <w:drawing>
              <wp:inline>
                <wp:extent cx="6959600" cy="3175"/>
                <wp:docPr id="21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SPRYCEL</w:t>
      </w:r>
      <w:r>
        <w:rPr/>
        <w:fldChar w:fldCharType="begin"/>
      </w:r>
      <w:r>
        <w:rPr/>
        <w:instrText>XE "SPRYCEL"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Newly diagnosed Philadelphia chromosome-positive (Ph+) chronic myeloid leukemia (CML) in chronic phase, or B) Chronic, accelerated, or myeloid or lymphoid blast phase Ph+ CML AND failure, resistance, or intolerance to imatinib, or C) Philadelphia chromosome-positive (Ph+) acute lymphoblastic leukemia (ALL) with resistance or intolerance to imatinib.</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Prescriber must be an 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STIVARGA (Regorafenib)</w:t>
      </w:r>
      <w:r>
        <w:rPr/>
        <mc:AlternateContent>
          <mc:Choice Requires="wps">
            <w:drawing>
              <wp:inline>
                <wp:extent cx="6959600" cy="3175"/>
                <wp:docPr id="21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STIVARGA</w:t>
      </w:r>
      <w:r>
        <w:rPr/>
        <w:fldChar w:fldCharType="begin"/>
      </w:r>
      <w:r>
        <w:rPr/>
        <w:instrText>XE "STIVARGA"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Metastatic colorectal cancer AND patient has previously treated with fluoropyrimidine-, oxaliplatin-, and irinotecan-based therapy, an anti-vascular endothelial growth factor (VEGF) therapy, and, if KRAS wild type, an anti-epidermal growth factor receptor (EGFR) therapy, or B) Gastrointestinal stromal tumors that is locally advanced, unresectable or metastatic and patient has tried and had an inadequate response, contraindication or intolerance to Gleevec or Sutent.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Hepatic function will be monitored prior to and during treatment and, if patient has elevated liver function tests of hepatocellular necrosis, therapy will be interrupted and then reduced or discontinued. 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Sunosi (Solriamfetol)</w:t>
      </w:r>
      <w:r>
        <w:rPr/>
        <mc:AlternateContent>
          <mc:Choice Requires="wps">
            <w:drawing>
              <wp:inline>
                <wp:extent cx="6959600" cy="3175"/>
                <wp:docPr id="22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SUNOSI</w:t>
      </w:r>
      <w:r>
        <w:rPr/>
        <w:fldChar w:fldCharType="begin"/>
      </w:r>
      <w:r>
        <w:rPr/>
        <w:instrText>XE "SUNOSI"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narcolepsy or obstructive sleep apnea AND failed at least TWO alternatives (e.g. methylphenidate, dextroamphetamine, modafinil and armodafinil).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the 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SUTENT (Sunitinib Malate)</w:t>
      </w:r>
      <w:r>
        <w:rPr/>
        <mc:AlternateContent>
          <mc:Choice Requires="wps">
            <w:drawing>
              <wp:inline>
                <wp:extent cx="6959600" cy="3175"/>
                <wp:docPr id="22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SUTENT</w:t>
      </w:r>
      <w:r>
        <w:rPr/>
        <w:fldChar w:fldCharType="begin"/>
      </w:r>
      <w:r>
        <w:rPr/>
        <w:instrText>XE "SUTENT"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Combination use with other kinase inhibitors (for example, sorafenib, etc).</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Advanced/metastatic renal cell carcinoma, or B) Gastrointestinal stromal tumors after disease progression on or intolerance to Gleevec, or C) Progressive, well-differentiated pancreatic neuroendocrine tumors in a patient with unresectable locally advanced or metastatic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at least 18 years of age.</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prescribed by 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 initial, then renewable in 6 month increments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SYNERA (lidocaine/tetracaine) </w:t>
      </w:r>
      <w:r>
        <w:rPr/>
        <mc:AlternateContent>
          <mc:Choice Requires="wps">
            <w:drawing>
              <wp:inline>
                <wp:extent cx="6959600" cy="3175"/>
                <wp:docPr id="22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SYNERA</w:t>
      </w:r>
      <w:r>
        <w:rPr/>
        <w:fldChar w:fldCharType="begin"/>
      </w:r>
      <w:r>
        <w:rPr/>
        <w:instrText>XE "SYNERA"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TABLOID (Thioguanine )</w:t>
      </w:r>
      <w:r>
        <w:rPr/>
        <mc:AlternateContent>
          <mc:Choice Requires="wps">
            <w:drawing>
              <wp:inline>
                <wp:extent cx="6959600" cy="3175"/>
                <wp:docPr id="22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TABLOID</w:t>
      </w:r>
      <w:r>
        <w:rPr/>
        <w:fldChar w:fldCharType="begin"/>
      </w:r>
      <w:r>
        <w:rPr/>
        <w:instrText>XE "TABLOID"</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chemotherapy remission inducation and consolidation treatment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TAFINLAR (Dabrafenib Mesylate)</w:t>
      </w:r>
      <w:r>
        <w:rPr/>
        <mc:AlternateContent>
          <mc:Choice Requires="wps">
            <w:drawing>
              <wp:inline>
                <wp:extent cx="6959600" cy="3175"/>
                <wp:docPr id="22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TAFINLAR</w:t>
      </w:r>
      <w:r>
        <w:rPr/>
        <w:fldChar w:fldCharType="begin"/>
      </w:r>
      <w:r>
        <w:rPr/>
        <w:instrText>XE "TAFINLAR"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unresectable or metastatic melanoma along with BRAF V600E or BRAF V600K mutation status as detected by a US Food and Drug Administration-approved test.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Takhzyro</w:t>
      </w:r>
      <w:r>
        <w:rPr/>
        <mc:AlternateContent>
          <mc:Choice Requires="wps">
            <w:drawing>
              <wp:inline>
                <wp:extent cx="6959600" cy="3175"/>
                <wp:docPr id="22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TAKHZYRO</w:t>
      </w:r>
      <w:r>
        <w:rPr/>
        <w:fldChar w:fldCharType="begin"/>
      </w:r>
      <w:r>
        <w:rPr/>
        <w:instrText>XE "TAKHZYRO"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medication is being used to prevent attacks of hereditary angioedema (HAE).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12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Talzenna (Talazoparib)</w:t>
      </w:r>
      <w:r>
        <w:rPr/>
        <mc:AlternateContent>
          <mc:Choice Requires="wps">
            <w:drawing>
              <wp:inline>
                <wp:extent cx="6959600" cy="3175"/>
                <wp:docPr id="22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TALZENNA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0.25 MG, 1 MG</w:t>
      </w:r>
      <w:r>
        <w:rPr/>
        <w:fldChar w:fldCharType="begin"/>
      </w:r>
      <w:r>
        <w:rPr/>
        <w:instrText>XE "TALZENNA ORAL CAPSULE 0.25 MG, 1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deleterious or suspected deleterious germline breast cancer susceptibility gene (BRCA)-mutated (gBRCAm) human epidermal growth factor receptor 2 (HER2)-negative locally advanced or metastatic breast cancer.</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TARCEVA (Erlotinib)</w:t>
      </w:r>
      <w:r>
        <w:rPr/>
        <mc:AlternateContent>
          <mc:Choice Requires="wps">
            <w:drawing>
              <wp:inline>
                <wp:extent cx="6959600" cy="3175"/>
                <wp:docPr id="22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erlotinib</w:t>
      </w:r>
      <w:r>
        <w:rPr/>
        <w:fldChar w:fldCharType="begin"/>
      </w:r>
      <w:r>
        <w:rPr/>
        <w:instrText>XE "erlotinib"</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 approved indications not otherwise excluded by Health Plan. First line for Non-Small Cell Lung Cancer (NSCLC).</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Locally advanced, unresectable, or metastatic pancreatic cancer and Tarceva will be used in combination with gemcitabine, or B) First-line treatment of metastatic non-small cell lung cancer in which tumors have epidermal growth factor receptor (EGFR) exon 19 deletions or exon 21 (L858R) substitution mutations as detected by an Food and Drug Administration (FDA)-approved test, or C) Maintenance treatment of locally advanced or metastatic non-small cell lung cancer when disease has not progressed after 4 cycles of platinum-based first-line chemotherapy, or D) Treatment of locally advanced or metastatic non-small cell lung cancer after failure of at least 1 prior chemotherapy regimen.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Prescriber must be an 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TARGRETIN (Bexarotene)</w:t>
      </w:r>
      <w:r>
        <w:rPr/>
        <mc:AlternateContent>
          <mc:Choice Requires="wps">
            <w:drawing>
              <wp:inline>
                <wp:extent cx="6959600" cy="3175"/>
                <wp:docPr id="22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bexarotene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TARGRETIN TOPICAL</w:t>
      </w:r>
      <w:r>
        <w:rPr/>
        <w:fldChar w:fldCharType="begin"/>
      </w:r>
      <w:r>
        <w:rPr/>
        <w:instrText>XE "bexarotene"</w:instrText>
      </w:r>
      <w:r>
        <w:rPr/>
        <w:fldChar w:fldCharType="end"/>
      </w:r>
      <w:r>
        <w:rPr/>
        <w:fldChar w:fldCharType="begin"/>
      </w:r>
      <w:r>
        <w:rPr/>
        <w:instrText>XE "TARGRETIN TOPICAL"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TASIGNA (Nilotinib)</w:t>
      </w:r>
      <w:r>
        <w:rPr/>
        <mc:AlternateContent>
          <mc:Choice Requires="wps">
            <w:drawing>
              <wp:inline>
                <wp:extent cx="6959600" cy="3175"/>
                <wp:docPr id="22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TASIGNA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150 MG, 200 MG</w:t>
      </w:r>
      <w:r>
        <w:rPr/>
        <w:fldChar w:fldCharType="begin"/>
      </w:r>
      <w:r>
        <w:rPr/>
        <w:instrText>XE "TASIGNA ORAL CAPSULE 150 MG, 200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Long QT syndrome. Uncorrected hypokalemia. Uncorrected hypomagnesemia. Concomitant use with a drug known to prolong the QT interval or strong cytochrome P450 3A4 inhibitors.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Newly diagnosed adult patients with Philadephia chromosome positive chronic myeloid leukemia (Ph+ CML) in chronic phase, or B) Ph+ chronic or accelerated phase chronic myeloid leukemia (CML) in adult  patients resistant to or intolerant to prior therapy that included imatinib.</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prescribed by 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3 months, Renewal: 6 months with documentation of continued benefit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Tavalisse</w:t>
      </w:r>
      <w:r>
        <w:rPr/>
        <mc:AlternateContent>
          <mc:Choice Requires="wps">
            <w:drawing>
              <wp:inline>
                <wp:extent cx="6959600" cy="3175"/>
                <wp:docPr id="23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TAVALISSE</w:t>
      </w:r>
      <w:r>
        <w:rPr/>
        <w:fldChar w:fldCharType="begin"/>
      </w:r>
      <w:r>
        <w:rPr/>
        <w:instrText>XE "TAVALISSE"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Platelet count less than 30x10^9/L and member had an insufficient response to previous treatment (corticosteroids, immunoglobulins, splenectomy, and/or a thrombopoietin receptor agonists)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Authorization will be for 3 months. Reauthorization will be for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Tazverik (Tazemetostat)</w:t>
      </w:r>
      <w:r>
        <w:rPr/>
        <mc:AlternateContent>
          <mc:Choice Requires="wps">
            <w:drawing>
              <wp:inline>
                <wp:extent cx="6959600" cy="3175"/>
                <wp:docPr id="23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TAZVERIK</w:t>
      </w:r>
      <w:r>
        <w:rPr/>
        <w:fldChar w:fldCharType="begin"/>
      </w:r>
      <w:r>
        <w:rPr/>
        <w:instrText>XE "TAZVERIK"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metastatic or locally advanced epithelioid sarcoma that is not eligible for complete resection.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TECFIDERA (Dimethyl Fumarate)</w:t>
      </w:r>
      <w:r>
        <w:rPr/>
        <mc:AlternateContent>
          <mc:Choice Requires="wps">
            <w:drawing>
              <wp:inline>
                <wp:extent cx="6959600" cy="3175"/>
                <wp:docPr id="23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TECFIDERA ORAL CAPSULE,DELAYED RELEASE(DR/EC)</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120 MG, 120 MG (14)- 240 MG (46), 240 MG</w:t>
      </w:r>
      <w:r>
        <w:rPr/>
        <w:fldChar w:fldCharType="begin"/>
      </w:r>
      <w:r>
        <w:rPr/>
        <w:instrText>XE "TECFIDERA ORAL CAPSULE,DELAYED RELEASE(DR/EC) 120 MG, 120 MG (14)- 240 MG (46), 240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Treatment of primary progressive MS is not covered. Combination therapy with a beta interferon product, Gilenya, Aubagio, Tecfidera, Tysabri or Copaxone is not covered.</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relapsing forms of multiple sclerosis (relapsing-remitting MS or progressive-relapsing MS, or secondary-progresive MS) OR patient has experienced a first clinical episode and has MRI features consistent with multiple sclerosis.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Temozolomide (TEMODAR)</w:t>
      </w:r>
      <w:r>
        <w:rPr/>
        <mc:AlternateContent>
          <mc:Choice Requires="wps">
            <w:drawing>
              <wp:inline>
                <wp:extent cx="6959600" cy="3175"/>
                <wp:docPr id="23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temozolomide</w:t>
      </w:r>
      <w:r>
        <w:rPr/>
        <w:fldChar w:fldCharType="begin"/>
      </w:r>
      <w:r>
        <w:rPr/>
        <w:instrText>XE "temozolomide"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Tetrabenazine (XENAZINE)</w:t>
      </w:r>
      <w:r>
        <w:rPr/>
        <mc:AlternateContent>
          <mc:Choice Requires="wps">
            <w:drawing>
              <wp:inline>
                <wp:extent cx="6959600" cy="3175"/>
                <wp:docPr id="23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tetrabenazine</w:t>
      </w:r>
      <w:r>
        <w:rPr/>
        <w:fldChar w:fldCharType="begin"/>
      </w:r>
      <w:r>
        <w:rPr/>
        <w:instrText>XE "tetrabenazine"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medically accepted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Actively suicidal. Untreated or inadequately treated depression. Impaired hepatic function. Concomitant use of monoamine oxidase inhibitors. Concomitant use of reserpine or within 20 days of discontinuing reserpine.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chorea associated with Huntington's disease AND any medication possibly contributing to the underlying symptoms of chorea has been discontinued (e.g., antipsychotics, metoclopramide, amphetamines, methylphenidate, dopamine agonists, etc.) unless cessation would be detrimental to the underlying condition.</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Huntington's: Prescribed by a neurologist. Tardive dyskinesia, Tourette's: Prescribed by neurologist or psychiatrist.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Therapy: 3 months. Reauthorization: through 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Should not be used in patients who have inadequately treated depression, or patients who are actively suicidal.</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THALOMID (Thalidomide)</w:t>
      </w:r>
      <w:r>
        <w:rPr/>
        <mc:AlternateContent>
          <mc:Choice Requires="wps">
            <w:drawing>
              <wp:inline>
                <wp:extent cx="6959600" cy="3175"/>
                <wp:docPr id="23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THALOMID</w:t>
      </w:r>
      <w:r>
        <w:rPr/>
        <w:fldChar w:fldCharType="begin"/>
      </w:r>
      <w:r>
        <w:rPr/>
        <w:instrText>XE "THALOMID"</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Pregnancy (category X)</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Multiple myeloma that is newly diagnosed and is receiving concurrent dexamethasone, or B) Acute treatment of cutaneous manifestations of moderate to severe erythema nodosum leprosum (ENL) AND the medication will not be used as monotherapy if the member has moderate to severe neuritis, or C) Maintenance therapy for prevention and suppression of cutaneous manifestations of ENL recurrence.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12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Candidates must follow Thalomid REMS program requirements. Provider and pharmacy must be registered with this program.</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THYMOGLOBULIN (Anti-Thymocyte Globulin (Rabbit), Lymphocyte Immune Globulin)</w:t>
      </w:r>
      <w:r>
        <w:rPr/>
        <mc:AlternateContent>
          <mc:Choice Requires="wps">
            <w:drawing>
              <wp:inline>
                <wp:extent cx="6959600" cy="3175"/>
                <wp:docPr id="23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THYMOGLOBULIN</w:t>
      </w:r>
      <w:r>
        <w:rPr/>
        <w:fldChar w:fldCharType="begin"/>
      </w:r>
      <w:r>
        <w:rPr/>
        <w:instrText>XE "THYMOGLOBULIN"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Up to 14 days.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Tibsovo (Ivosidenib)</w:t>
      </w:r>
      <w:r>
        <w:rPr/>
        <mc:AlternateContent>
          <mc:Choice Requires="wps">
            <w:drawing>
              <wp:inline>
                <wp:extent cx="6959600" cy="3175"/>
                <wp:docPr id="23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TIBSOVO</w:t>
      </w:r>
      <w:r>
        <w:rPr/>
        <w:fldChar w:fldCharType="begin"/>
      </w:r>
      <w:r>
        <w:rPr/>
        <w:instrText>XE "TIBSOVO"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relapsed or refractory acute myeloid leukemia (AML) with a susceptible isocitrate dehydrogenase-1 (IDH1) mutation as detected by an FDA-approved test.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TIGAN (Trimethobenzamide)</w:t>
      </w:r>
      <w:r>
        <w:rPr/>
        <mc:AlternateContent>
          <mc:Choice Requires="wps">
            <w:drawing>
              <wp:inline>
                <wp:extent cx="6959600" cy="3175"/>
                <wp:docPr id="23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TIGAN INTRAMUSCULAR</w:t>
      </w:r>
      <w:r>
        <w:rPr/>
        <w:fldChar w:fldCharType="begin"/>
      </w:r>
      <w:r>
        <w:rPr/>
        <w:instrText>XE "TIGAN INTRAMUSCULAR"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Use not recommended in children</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Tobramycin Inhalant Solution (TOBI)</w:t>
      </w:r>
      <w:r>
        <w:rPr/>
        <mc:AlternateContent>
          <mc:Choice Requires="wps">
            <w:drawing>
              <wp:inline>
                <wp:extent cx="6959600" cy="3175"/>
                <wp:docPr id="23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tobramycin in 0.225 % NaCl</w:t>
      </w:r>
      <w:r>
        <w:rPr/>
        <w:fldChar w:fldCharType="begin"/>
      </w:r>
      <w:r>
        <w:rPr/>
        <w:instrText>XE "tobramycin in 0.225 % NaCl"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cystic fibrosis with Pseudomonas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TRACLEER (Bosentan)</w:t>
      </w:r>
      <w:r>
        <w:rPr/>
        <mc:AlternateContent>
          <mc:Choice Requires="wps">
            <w:drawing>
              <wp:inline>
                <wp:extent cx="6959600" cy="3175"/>
                <wp:docPr id="24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bosentan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TRACLEER ORAL TABLET FOR SUSPENSION</w:t>
      </w:r>
      <w:r>
        <w:rPr/>
        <w:fldChar w:fldCharType="begin"/>
      </w:r>
      <w:r>
        <w:rPr/>
        <w:instrText>XE "bosentan"</w:instrText>
      </w:r>
      <w:r>
        <w:rPr/>
        <w:fldChar w:fldCharType="end"/>
      </w:r>
      <w:r>
        <w:rPr/>
        <w:fldChar w:fldCharType="begin"/>
      </w:r>
      <w:r>
        <w:rPr/>
        <w:instrText>XE "TRACLEER ORAL TABLET FOR SUSPENSION"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Receiving concomitant cyclosporine A or glyburide therapy. Aminotransferase elevations are accompanied by signs or symptoms of liver dysfunction or injury or increases in bilirubin at least 2 times the upper limit of normal. For female patients, pregnancy must be excluded prior to the start of therapy and will be prevented thereafter with reliable contraception.</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pulmonary arterial hypertension (PAH) WHO Group I AND New York Heart Association (NYHA) Functional Class II-IV</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Greater than 12 years of age</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Available only to those enrolled in the Tracleer REMS Program. Prescription is written by or in consultation with a pulmonologist or cardiologist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Liver aminotransferases will be measured prior to initiation of treatment and then monthly.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Tranexamic acid (CYKLOKAPRON)</w:t>
      </w:r>
      <w:r>
        <w:rPr/>
        <mc:AlternateContent>
          <mc:Choice Requires="wps">
            <w:drawing>
              <wp:inline>
                <wp:extent cx="6959600" cy="3175"/>
                <wp:docPr id="24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tranexamic acid intravenous</w:t>
      </w:r>
      <w:r>
        <w:rPr/>
        <w:fldChar w:fldCharType="begin"/>
      </w:r>
      <w:r>
        <w:rPr/>
        <w:instrText>XE "tranexamic acid intravenous"</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hemophilia diagnosis as appropriate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8 days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Tretinoin (chemotherapy)</w:t>
      </w:r>
      <w:r>
        <w:rPr/>
        <mc:AlternateContent>
          <mc:Choice Requires="wps">
            <w:drawing>
              <wp:inline>
                <wp:extent cx="6959600" cy="3175"/>
                <wp:docPr id="24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ALTRENO</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tretinoin (antineoplastic)</w:t>
      </w:r>
      <w:r>
        <w:rPr/>
        <w:fldChar w:fldCharType="begin"/>
      </w:r>
      <w:r>
        <w:rPr/>
        <w:instrText>XE "ALTRENO"</w:instrText>
      </w:r>
      <w:r>
        <w:rPr/>
        <w:fldChar w:fldCharType="end"/>
      </w:r>
      <w:r>
        <w:rPr/>
        <w:fldChar w:fldCharType="begin"/>
      </w:r>
      <w:r>
        <w:rPr/>
        <w:instrText>XE "tretinoin (antineoplastic)"</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Patients diagnosed with acne vulgaris after trying and failing at least 1 preferred alternatives (such as generic acne products - erythromycin/benzoyl peroxide, clindamycin, etc) or other non-cosmetic diagnosis.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Trikafta</w:t>
      </w:r>
      <w:r>
        <w:rPr/>
        <mc:AlternateContent>
          <mc:Choice Requires="wps">
            <w:drawing>
              <wp:inline>
                <wp:extent cx="6959600" cy="3175"/>
                <wp:docPr id="24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TRIKAFTA</w:t>
      </w:r>
      <w:r>
        <w:rPr/>
        <w:fldChar w:fldCharType="begin"/>
      </w:r>
      <w:r>
        <w:rPr/>
        <w:instrText>XE "TRIKAFTA"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Use in combination with other CFTR modulator (Orkambi, Kalydeco, or Symdeko)</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Cystic Fibrosis AND confirmation of presence of at least one F508del mutation in CFTR gene through genetic testing.</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12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Prescribed by pulmonologist or a physician who specializes in the treatment of Cystic fibrosis</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TURALIO- pexidartinib </w:t>
      </w:r>
      <w:r>
        <w:rPr/>
        <mc:AlternateContent>
          <mc:Choice Requires="wps">
            <w:drawing>
              <wp:inline>
                <wp:extent cx="6959600" cy="3175"/>
                <wp:docPr id="24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TURALIO</w:t>
      </w:r>
      <w:r>
        <w:rPr/>
        <w:fldChar w:fldCharType="begin"/>
      </w:r>
      <w:r>
        <w:rPr/>
        <w:instrText>XE "TURALIO"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symptomatic tenosynovial giant cell tumor (TGCT) associated with severe morbidity or functional limitations and not amenable to improvement with surgery.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TYKERB (Lapatinib Ditosylate)</w:t>
      </w:r>
      <w:r>
        <w:rPr/>
        <mc:AlternateContent>
          <mc:Choice Requires="wps">
            <w:drawing>
              <wp:inline>
                <wp:extent cx="6959600" cy="3175"/>
                <wp:docPr id="24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TYKERB</w:t>
      </w:r>
      <w:r>
        <w:rPr/>
        <w:fldChar w:fldCharType="begin"/>
      </w:r>
      <w:r>
        <w:rPr/>
        <w:instrText>XE "TYKERB"</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breast cancer with tumors that overexpress human epidermal growth factor receptor 2 (HER2) AND 1. the medication will be used in combination with Xeloda in a patient with advanced or metastatic disease and the patient has received prior therapy including an anthracycline, a taxane, and trastuzumab, or 2) The medication will be used in combination with Femara for the treatment of a postmenopausal woman with hormone receptor-positive metastatic disease for whom hormonal therapy is indicated.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prescribed by Oncologist and Oncologist must monitor treatment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3 months, Renewal: 6 months with documentation of continued benefit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Tymlos</w:t>
      </w:r>
      <w:r>
        <w:rPr/>
        <mc:AlternateContent>
          <mc:Choice Requires="wps">
            <w:drawing>
              <wp:inline>
                <wp:extent cx="6959600" cy="3175"/>
                <wp:docPr id="24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TYMLOS</w:t>
      </w:r>
      <w:r>
        <w:rPr/>
        <w:fldChar w:fldCharType="begin"/>
      </w:r>
      <w:r>
        <w:rPr/>
        <w:instrText>XE "TYMLOS"</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Osteoporosis in a postmenopausal female AND one or more of the following: 1) History of osteoporotic fracture, or 2) Documented trial and failure of bisphosphonate or 3) Documented contraindication or intolerance to bisphosphonate therapy. Patient has not received more than 2 years of therapy with Tymlos.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1 year. Renewal: 1 year not to exceed 2 years of total </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TYSABRI (Natalizumab)</w:t>
      </w:r>
      <w:r>
        <w:rPr/>
        <mc:AlternateContent>
          <mc:Choice Requires="wps">
            <w:drawing>
              <wp:inline>
                <wp:extent cx="6959600" cy="3175"/>
                <wp:docPr id="24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TYSABRI</w:t>
      </w:r>
      <w:r>
        <w:rPr/>
        <w:fldChar w:fldCharType="begin"/>
      </w:r>
      <w:r>
        <w:rPr/>
        <w:instrText>XE "TYSABRI"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Treatment of primary progressive MS is not covered. Combination therapy with a beta interferon product, Gilenya, Aubagio, Tecfidera, or Copaxone is not covered.</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Relapsing form of multiple sclerosis and medication will be used as monotherapy and patient had an inadequate response, intolerance, or contraindication to conventional therapy with one of the following: An interferon beta product, Copaxone, Tecfidera, Gilenya, or B) Moderate to severe active Crohn's disease and medication will not be used in combination with immunosuppressants or inhibitors of tumor necrosis factor-alfa and patient had an inadequate response, intolerance, or contraindication to 5-aminosalicylic acid, glucocorticoid (budesonide ER), and at least one TNF-alpha (Humira, Remicade) therapy.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Neurologist or a Certified MS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Ubrelvy (Ubrogepant)</w:t>
      </w:r>
      <w:r>
        <w:rPr/>
        <mc:AlternateContent>
          <mc:Choice Requires="wps">
            <w:drawing>
              <wp:inline>
                <wp:extent cx="6959600" cy="3175"/>
                <wp:docPr id="24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UBRELVY</w:t>
      </w:r>
      <w:r>
        <w:rPr/>
        <w:fldChar w:fldCharType="begin"/>
      </w:r>
      <w:r>
        <w:rPr/>
        <w:instrText>XE "UBRELVY"</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will be used for the acute treatment of migraine with or without aura in adults AND the member has tried and failed three alternatives two of which were triptans, unless contraindicated.</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Reauthorization requires documentation of medication efficacy.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VALCYTE (valganciclovir)</w:t>
      </w:r>
      <w:r>
        <w:rPr/>
        <mc:AlternateContent>
          <mc:Choice Requires="wps">
            <w:drawing>
              <wp:inline>
                <wp:extent cx="6959600" cy="3175"/>
                <wp:docPr id="24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VALCYTE ORAL RECON SOLN</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valganciclovir</w:t>
      </w:r>
      <w:r>
        <w:rPr/>
        <w:fldChar w:fldCharType="begin"/>
      </w:r>
      <w:r>
        <w:rPr/>
        <w:instrText>XE "VALCYTE ORAL RECON SOLN"</w:instrText>
      </w:r>
      <w:r>
        <w:rPr/>
        <w:fldChar w:fldCharType="end"/>
      </w:r>
      <w:r>
        <w:rPr/>
        <w:fldChar w:fldCharType="begin"/>
      </w:r>
      <w:r>
        <w:rPr/>
        <w:instrText>XE "valganciclovir"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4 months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vancomycin oral (VANCOCIN)</w:t>
      </w:r>
      <w:r>
        <w:rPr/>
        <mc:AlternateContent>
          <mc:Choice Requires="wps">
            <w:drawing>
              <wp:inline>
                <wp:extent cx="6959600" cy="3175"/>
                <wp:docPr id="25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vancomycin oral capsule</w:t>
      </w:r>
      <w:r>
        <w:rPr/>
        <w:fldChar w:fldCharType="begin"/>
      </w:r>
      <w:r>
        <w:rPr/>
        <w:instrText>XE "vancomycin oral capsule"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A) Clostridium difficile-associated diarrhea, AND Stool culture report within the previous 30 days indicating positive C. difficile toxin, AND documented trial and failure or contraindication to preferred agent, metronidazole, or B) Staphylococcus aureus (including methicillin-resistant strains)enterocolitis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14 days, Patients with multiple relapses: 6 weeks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VARUBI (rolapitant)</w:t>
      </w:r>
      <w:r>
        <w:rPr/>
        <mc:AlternateContent>
          <mc:Choice Requires="wps">
            <w:drawing>
              <wp:inline>
                <wp:extent cx="6959600" cy="3175"/>
                <wp:docPr id="25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VARUBI ORAL</w:t>
      </w:r>
      <w:r>
        <w:rPr/>
        <w:fldChar w:fldCharType="begin"/>
      </w:r>
      <w:r>
        <w:rPr/>
        <w:instrText>XE "VARUBI ORAL"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VECTICAL (calcitriol topical)</w:t>
      </w:r>
      <w:r>
        <w:rPr/>
        <mc:AlternateContent>
          <mc:Choice Requires="wps">
            <w:drawing>
              <wp:inline>
                <wp:extent cx="6959600" cy="3175"/>
                <wp:docPr id="25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calcitriol topical</w:t>
      </w:r>
      <w:r>
        <w:rPr/>
        <w:fldChar w:fldCharType="begin"/>
      </w:r>
      <w:r>
        <w:rPr/>
        <w:instrText>XE "calcitriol topical"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Any pertinent clinical situation as defined by the product label that could affect patient safety and/or therapeutic efficacy (i.e. contraindications, warnings, precautions, adverse effects, renal or hepatic function, drug interactions, lab values, required prior or concomitant therapy, inappropriate dosing and/or duration, etc).</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have tried and failed at least 2 topical steroids (at least one mid potency and at least one high potency)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VELPHORO (Sucroferric Oxyhydroxide)</w:t>
      </w:r>
      <w:r>
        <w:rPr/>
        <mc:AlternateContent>
          <mc:Choice Requires="wps">
            <w:drawing>
              <wp:inline>
                <wp:extent cx="6959600" cy="3175"/>
                <wp:docPr id="25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VELPHORO</w:t>
      </w:r>
      <w:r>
        <w:rPr/>
        <w:fldChar w:fldCharType="begin"/>
      </w:r>
      <w:r>
        <w:rPr/>
        <w:instrText>XE "VELPHORO"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serum phosphorus levels and statement that patient is receiving dialysis.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VENTAVIS (Iloprost)</w:t>
      </w:r>
      <w:r>
        <w:rPr/>
        <mc:AlternateContent>
          <mc:Choice Requires="wps">
            <w:drawing>
              <wp:inline>
                <wp:extent cx="6959600" cy="3175"/>
                <wp:docPr id="25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VENTAVIS</w:t>
      </w:r>
      <w:r>
        <w:rPr/>
        <w:fldChar w:fldCharType="begin"/>
      </w:r>
      <w:r>
        <w:rPr/>
        <w:instrText>XE "VENTAVIS"</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Pulmonary Arterial Hypertension (PAH) AND has WHO Group I PAH AND Patient has New York Heart Association (NYHA) Functional Class III or IV. Trial and failure of Revatio or Adcirca.</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Must be prescribed by a cardiologist or pulmonologist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VERZENIO</w:t>
      </w:r>
      <w:r>
        <w:rPr/>
        <mc:AlternateContent>
          <mc:Choice Requires="wps">
            <w:drawing>
              <wp:inline>
                <wp:extent cx="6959600" cy="3175"/>
                <wp:docPr id="25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VERZENIO</w:t>
      </w:r>
      <w:r>
        <w:rPr/>
        <w:fldChar w:fldCharType="begin"/>
      </w:r>
      <w:r>
        <w:rPr/>
        <w:instrText>XE "VERZENIO"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one of the following: A)hormone receptor -positive, human epidermal growth factor receptor 2 -negative advanced or metastatic breast cancer and must ne used in combination with fulvestrant unless there is disease progression following endocrine therapy and prior chemotherapy in the metastatic setting.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Viberzi</w:t>
      </w:r>
      <w:r>
        <w:rPr/>
        <mc:AlternateContent>
          <mc:Choice Requires="wps">
            <w:drawing>
              <wp:inline>
                <wp:extent cx="6959600" cy="3175"/>
                <wp:docPr id="25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VIBERZI</w:t>
      </w:r>
      <w:r>
        <w:rPr/>
        <w:fldChar w:fldCharType="begin"/>
      </w:r>
      <w:r>
        <w:rPr/>
        <w:instrText>XE "VIBERZI"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Clinically diagnosed with irritable bowel syndrome with diarrhea supported by documentation from the patient's medical records AND Other GI medical conditions that could explain the symptoms have been ruled out AND Failed conventional non-pharmacological therapies including (Dietary changes, stress reduction, or behavioral changes)AND Failed conventional pharmacological therapies including: Antidiarrheals, Antidepressants, and Antispasmodics AND Must have tried and failed rifaximin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Authorization will be for 3 months. Reauthorization will be for 1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VIMPAT (Lacosamide)</w:t>
      </w:r>
      <w:r>
        <w:rPr/>
        <mc:AlternateContent>
          <mc:Choice Requires="wps">
            <w:drawing>
              <wp:inline>
                <wp:extent cx="6959600" cy="3175"/>
                <wp:docPr id="25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VIMPAT ORAL SOLUTION</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VIMPAT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VIMPAT ORAL TABLETS,DOSE PACK</w:t>
      </w:r>
      <w:r>
        <w:rPr/>
        <w:fldChar w:fldCharType="begin"/>
      </w:r>
      <w:r>
        <w:rPr/>
        <w:instrText>XE "VIMPAT ORAL SOLUTION"</w:instrText>
      </w:r>
      <w:r>
        <w:rPr/>
        <w:fldChar w:fldCharType="end"/>
      </w:r>
      <w:r>
        <w:rPr/>
        <w:fldChar w:fldCharType="begin"/>
      </w:r>
      <w:r>
        <w:rPr/>
        <w:instrText>XE "VIMPAT ORAL TABLET"</w:instrText>
      </w:r>
      <w:r>
        <w:rPr/>
        <w:fldChar w:fldCharType="end"/>
      </w:r>
      <w:r>
        <w:rPr/>
        <w:fldChar w:fldCharType="begin"/>
      </w:r>
      <w:r>
        <w:rPr/>
        <w:instrText>XE "VIMPAT ORAL TABLETS,DOSE PACK"</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17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the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Max dose 400mg/day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Vitrakvi (larotrectinib)</w:t>
      </w:r>
      <w:r>
        <w:rPr/>
        <mc:AlternateContent>
          <mc:Choice Requires="wps">
            <w:drawing>
              <wp:inline>
                <wp:extent cx="6959600" cy="3175"/>
                <wp:docPr id="25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VITRAKVI ORAL CAPSULE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VITRAKVI ORAL SOLUTION</w:t>
      </w:r>
      <w:r>
        <w:rPr/>
        <w:fldChar w:fldCharType="begin"/>
      </w:r>
      <w:r>
        <w:rPr/>
        <w:instrText>XE "VITRAKVI ORAL CAPSULE"</w:instrText>
      </w:r>
      <w:r>
        <w:rPr/>
        <w:fldChar w:fldCharType="end"/>
      </w:r>
      <w:r>
        <w:rPr/>
        <w:fldChar w:fldCharType="begin"/>
      </w:r>
      <w:r>
        <w:rPr/>
        <w:instrText>XE "VITRAKVI ORAL SOLUTION"</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unresectable or metastatic solid tumors that have a neurotrophic receptor tyrosine kinase (NTRK) gene fusion and have no satisfactory alternative treatments or that have progressed following treatment.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Vizimpro (Dacomitinib)</w:t>
      </w:r>
      <w:r>
        <w:rPr/>
        <mc:AlternateContent>
          <mc:Choice Requires="wps">
            <w:drawing>
              <wp:inline>
                <wp:extent cx="6959600" cy="3175"/>
                <wp:docPr id="25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VIZIMPRO</w:t>
      </w:r>
      <w:r>
        <w:rPr/>
        <w:fldChar w:fldCharType="begin"/>
      </w:r>
      <w:r>
        <w:rPr/>
        <w:instrText>XE "VIZIMPRO"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medication will be used for the first-line treatment of patients with metastatic non-small cell lung cancer (NSCLC) with epidermal growth factor receptor (EGFR) exon 19 deletion or exon 21 L858R substitution mutations as detected by an FDA-approved test.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VORICONAZOLE (VFEND)</w:t>
      </w:r>
      <w:r>
        <w:rPr/>
        <mc:AlternateContent>
          <mc:Choice Requires="wps">
            <w:drawing>
              <wp:inline>
                <wp:extent cx="6959600" cy="3175"/>
                <wp:docPr id="26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voriconazole oral</w:t>
      </w:r>
      <w:r>
        <w:rPr/>
        <w:fldChar w:fldCharType="begin"/>
      </w:r>
      <w:r>
        <w:rPr/>
        <w:instrText>XE "voriconazole oral"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medically-accepted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invasive aspergillosis, bronchopulmonary aspergillosis, candidemia and disseminated candidiasis in skin, abdomen, kidney, bladder wall and wounds, esophageal candidiasis, and serious Candida infections, infections caused by the emerging pathogens Scedosporium sp. and Fusarium sp., or rare and refractory fungal infections should be provided. Preferred alternative for Candida: oral fluconazole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12 years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VOTRIENT (Pazopanib)</w:t>
      </w:r>
      <w:r>
        <w:rPr/>
        <mc:AlternateContent>
          <mc:Choice Requires="wps">
            <w:drawing>
              <wp:inline>
                <wp:extent cx="6959600" cy="3175"/>
                <wp:docPr id="26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VOTRIENT</w:t>
      </w:r>
      <w:r>
        <w:rPr/>
        <w:fldChar w:fldCharType="begin"/>
      </w:r>
      <w:r>
        <w:rPr/>
        <w:instrText>XE "VOTRIENT"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Advanced/metastatic renal cell carcinoma, or B) Advanced soft tissue sarcoma and patient received at least one prior chemotherapy (e.g., doxorubicin, dacarbazine, ifosfamide, epirubicin, gemicitabine, docetaxel, or vinorelbine).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3 months, Renewal: 6 months with documentation of continued benefit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VRAYLAR (cariprazine)</w:t>
      </w:r>
      <w:r>
        <w:rPr/>
        <mc:AlternateContent>
          <mc:Choice Requires="wps">
            <w:drawing>
              <wp:inline>
                <wp:extent cx="6959600" cy="3175"/>
                <wp:docPr id="26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VRAYLAR</w:t>
      </w:r>
      <w:r>
        <w:rPr/>
        <w:fldChar w:fldCharType="begin"/>
      </w:r>
      <w:r>
        <w:rPr/>
        <w:instrText>XE "VRAYLAR"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Approve with documented trial of any of the two following drugs: aripiprazole, clozapine, olanzapine, risperidone, quetiapine, ziprasidone</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Vumerity</w:t>
      </w:r>
      <w:r>
        <w:rPr/>
        <mc:AlternateContent>
          <mc:Choice Requires="wps">
            <w:drawing>
              <wp:inline>
                <wp:extent cx="6959600" cy="3175"/>
                <wp:docPr id="26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VUMERITY</w:t>
      </w:r>
      <w:r>
        <w:rPr/>
        <w:fldChar w:fldCharType="begin"/>
      </w:r>
      <w:r>
        <w:rPr/>
        <w:instrText>XE "VUMERITY"</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Concurrent use with other MS disease modifying agents (including Aubagio, Avonex, Betaseron, Copaxone/Glatiramer/Glatopa, Extavia, Gilenya, Lemtrada, Mavenclad, Mayzent, Ocrevus, Plegridy, Rebif, Tecfidera and Tysabri) OR Member with moderate or severe renal impairment (creatinine clearance less than 60 mL/min.</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will be used for the treatment of relapsing forms of multiple sclerosis (MS)(including clinically isolated syndrome, relapsing-remitting disease, and active secondary progressive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Neurologist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Vyvanse</w:t>
      </w:r>
      <w:r>
        <w:rPr/>
        <mc:AlternateContent>
          <mc:Choice Requires="wps">
            <w:drawing>
              <wp:inline>
                <wp:extent cx="6959600" cy="3175"/>
                <wp:docPr id="26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VYVANSE ORAL CAPSULE</w:t>
      </w:r>
      <w:r>
        <w:rPr/>
        <w:fldChar w:fldCharType="begin"/>
      </w:r>
      <w:r>
        <w:rPr/>
        <w:instrText>XE "VYVANSE ORAL CAPSULE"</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ADHD and tried and failed two alternative medications FDA approved for the treatment of ADHD, or B) Moderate to severe Binge Eating Disorder AND the patient is receiving psychological counseling AND the patient must have tried and failed at least two antidepressant medications.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ADHD: Must be older than 6 years of age, BED: Must be 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BED: The medication must be prescribed by a psychiatrist or a psychiatric specialist.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Vyxeos</w:t>
      </w:r>
      <w:r>
        <w:rPr/>
        <mc:AlternateContent>
          <mc:Choice Requires="wps">
            <w:drawing>
              <wp:inline>
                <wp:extent cx="6959600" cy="3175"/>
                <wp:docPr id="26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VYXEOS</w:t>
      </w:r>
      <w:r>
        <w:rPr/>
        <w:fldChar w:fldCharType="begin"/>
      </w:r>
      <w:r>
        <w:rPr/>
        <w:instrText>XE "VYXEOS"</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Documented diagnosis of newly-diagnosed therapy-related acute myeloid leukemia (t-AML) or AML with myelodysplasia-related changes (AML-MRC).</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hematologist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Wakix (Pitolisant)</w:t>
      </w:r>
      <w:r>
        <w:rPr/>
        <mc:AlternateContent>
          <mc:Choice Requires="wps">
            <w:drawing>
              <wp:inline>
                <wp:extent cx="6959600" cy="3175"/>
                <wp:docPr id="26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WAKIX</w:t>
      </w:r>
      <w:r>
        <w:rPr/>
        <w:fldChar w:fldCharType="begin"/>
      </w:r>
      <w:r>
        <w:rPr/>
        <w:instrText>XE "WAKIX"</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Excessive daytime sleepiness in patients with narcolepsy AND 1. Submission of sleep study with narcolepsy diagnosis, AND 2. currently NOT taking any sedative hypnotics or other CNS depressants AND 3. has experienced inadequate response or intolerable side effects to two preferred products (modafinil, armodofinil, methylphenidate, or dextroamphetamine).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3 months, Renewal: 6 months with documentation of continued benefit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renewal, the patient had a positive response to the medication (increased sleep quality for patients with narcolepsy).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XALKORI (Crizotinib)</w:t>
      </w:r>
      <w:r>
        <w:rPr/>
        <mc:AlternateContent>
          <mc:Choice Requires="wps">
            <w:drawing>
              <wp:inline>
                <wp:extent cx="6959600" cy="3175"/>
                <wp:docPr id="26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XALKORI</w:t>
      </w:r>
      <w:r>
        <w:rPr/>
        <w:fldChar w:fldCharType="begin"/>
      </w:r>
      <w:r>
        <w:rPr/>
        <w:instrText>XE "XALKORI"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Stated diagnosis of late-stage (locally advanced or metastatic), non-small cell lung cancers (NSCLC) with expression of the abnormal anaplastic lymphoma kinase (ALK) gene as detected by an FDA approved test.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Xeljanz</w:t>
      </w:r>
      <w:r>
        <w:rPr/>
        <mc:AlternateContent>
          <mc:Choice Requires="wps">
            <w:drawing>
              <wp:inline>
                <wp:extent cx="6959600" cy="3175"/>
                <wp:docPr id="26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XELJANZ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 MG</w:t>
      </w:r>
      <w:r>
        <w:rPr/>
        <w:fldChar w:fldCharType="begin"/>
      </w:r>
      <w:r>
        <w:rPr/>
        <w:instrText>XE "XELJANZ ORAL TABLET 10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trial and failure of preferred TNF inhibitors (Enbrel and Humira)AND negative Tuberculin test prior to therapy AND patient is free of any clinically important active infections.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Through end of benefit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XELJANZ (tofacitinib)</w:t>
      </w:r>
      <w:r>
        <w:rPr/>
        <mc:AlternateContent>
          <mc:Choice Requires="wps">
            <w:drawing>
              <wp:inline>
                <wp:extent cx="6959600" cy="3175"/>
                <wp:docPr id="26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XELJANZ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5 MG</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XELJANZ XR ORAL TABLET EXTENDED RELEASE 24 HR</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11 MG</w:t>
      </w:r>
      <w:r>
        <w:rPr/>
        <w:fldChar w:fldCharType="begin"/>
      </w:r>
      <w:r>
        <w:rPr/>
        <w:instrText>XE "XELJANZ ORAL TABLET 5 MG"</w:instrText>
      </w:r>
      <w:r>
        <w:rPr/>
        <w:fldChar w:fldCharType="end"/>
      </w:r>
      <w:r>
        <w:rPr/>
        <w:fldChar w:fldCharType="begin"/>
      </w:r>
      <w:r>
        <w:rPr/>
        <w:instrText>XE "XELJANZ XR ORAL TABLET EXTENDED RELEASE 24 HR 11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Concurrent use with a biologic for an inflammatory condition (eg, tocilizumab, anakinra, abatacept, rituximab) or a TNF inhibitor (eg, certolizumab pegol, etanercept, adalimumab, infliximab, golimumab). </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trial and failure of preferred TNF inhibitors (Enbrel and Humira)AND negative Tuberculin test prior to therapy AND patient is free of any clinically important active infections.</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12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XGEVA (Denosumab)</w:t>
      </w:r>
      <w:r>
        <w:rPr/>
        <mc:AlternateContent>
          <mc:Choice Requires="wps">
            <w:drawing>
              <wp:inline>
                <wp:extent cx="6959600" cy="3175"/>
                <wp:docPr id="27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XGEVA</w:t>
      </w:r>
      <w:r>
        <w:rPr/>
        <w:fldChar w:fldCharType="begin"/>
      </w:r>
      <w:r>
        <w:rPr/>
        <w:instrText>XE "XGEVA"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Hypocalcemia (calcium less than 8.0 mg/dL).</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Solid tumor (e.g., breast cancer, castrate-resistant prostate cancer, thyroid carcinoma, kidney, or non-small cell lung cancer) and patient has bone metastases and medication will be used for the prevention of skeletal-related events (e.g., spinal cord compression, hypercalcemia, bone pain or lesions requiring radiation or surgery), or B) Giant cell tumor of bone that is unresectable or surgical resection is likely to result in severe morbidity, or C) Treatment of hypercalcemia of malignancy refractory to bisphosphonate therapy (i.e. alendronate, ibandronate, risedronate).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XIFAXAN (Rifaximin)</w:t>
      </w:r>
      <w:r>
        <w:rPr/>
        <mc:AlternateContent>
          <mc:Choice Requires="wps">
            <w:drawing>
              <wp:inline>
                <wp:extent cx="6959600" cy="3175"/>
                <wp:docPr id="27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XIFAXAN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200 MG</w:t>
      </w:r>
      <w:r>
        <w:rPr/>
        <w:fldChar w:fldCharType="begin"/>
      </w:r>
      <w:r>
        <w:rPr/>
        <w:instrText>XE "XIFAXAN ORAL TABLET 200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Allergy to rifamycin agents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traveler's diarrhea and patient does not have fever or blood in the stool OR Diagnosis of hepatic encephalopathy and tried and failed lactulose therapy OR Diagnosis of irritable bowel syndrome with diarrhea (IBS-D) and failed at least TWO alternatives from TWO different classes such as anitdiarrheals (e.g. loperamide, diphenoxylate-atropine), antispasmodics (e.g. dicyclomine), bile acid sequestrants (e.g. cholestryramine, colestipol).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Traveler's diarrhea: 12 years of age or older, Hepatic encephalopathy and IBS-D: 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Traveler's diarrhea: 3 days, Hepatic encephalopathy: 6 months, IBS-D: 6 weeks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Xifaxan 550mg</w:t>
      </w:r>
      <w:r>
        <w:rPr/>
        <mc:AlternateContent>
          <mc:Choice Requires="wps">
            <w:drawing>
              <wp:inline>
                <wp:extent cx="6959600" cy="3175"/>
                <wp:docPr id="27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XIFAXAN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550 MG</w:t>
      </w:r>
      <w:r>
        <w:rPr/>
        <w:fldChar w:fldCharType="begin"/>
      </w:r>
      <w:r>
        <w:rPr/>
        <w:instrText>XE "XIFAXAN ORAL TABLET 550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Allergy to rifamycin agents</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hepatic encephalopathy and tried and failed lactulose therapy OR Diagnosis of irritable bowel syndrome with diarrhea (IBS-D) and failed at least TWO alternatives from TWO different classes such as antidiarrheal (e.g. loperamide, diphenoxylate-atropine), antispasmodics (e.g. dicyclomine), bile acid sequestrants (e.g. cholestyramine, colestipol).</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Traveler's diarrhea: 12 years of age or older, Hepatic encephalopathy and IBS-D: 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Hepatic encephalopathy: 6 months, IBS-D: 6 weeks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XOLAIR (Omalizumab)</w:t>
      </w:r>
      <w:r>
        <w:rPr/>
        <mc:AlternateContent>
          <mc:Choice Requires="wps">
            <w:drawing>
              <wp:inline>
                <wp:extent cx="6959600" cy="3175"/>
                <wp:docPr id="27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XOLAIR</w:t>
      </w:r>
      <w:r>
        <w:rPr/>
        <w:fldChar w:fldCharType="begin"/>
      </w:r>
      <w:r>
        <w:rPr/>
        <w:instrText>XE "XOLAIR"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A) moderate to severe persistent allergic asthma AND Evidence of specific allergic sensitivity confirmed by positive skin test (i.e. prick/puncture test) or blood test (i.e. radioallergosorbent test) for a specific IgE or in vitro reactivity to a perennial aeroallergen AND Pretreatment serum IgE levels greater than 30 and less than 700 IU/mL AND Symptoms are not adequately controlled with at least ONE inhaled corticosteroid (ICS) plus long-acting beta2-agonist (LABA) (e.g. Advair, Symbicort) for at least 3 months unless patient is intolerant to such treatment or such treatment is contraindicated, or B) Treatment of chronic idiopathic urticaria in adults and adolescents 12 years and older who remain symptomatic despite H1 antihistamine treatment (i.e. loratidine, cetirizine, levocetirizine, fexofenadine, etc.).</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Patient must be 12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Initial drug order must be by an allergist/immunologist, dermatologist, or a pulmonologist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Xospata (gilteritinib)</w:t>
      </w:r>
      <w:r>
        <w:rPr/>
        <mc:AlternateContent>
          <mc:Choice Requires="wps">
            <w:drawing>
              <wp:inline>
                <wp:extent cx="6959600" cy="3175"/>
                <wp:docPr id="27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XOSPATA</w:t>
      </w:r>
      <w:r>
        <w:rPr/>
        <w:fldChar w:fldCharType="begin"/>
      </w:r>
      <w:r>
        <w:rPr/>
        <w:instrText>XE "XOSPATA"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relapsed or refractory acute myeloid leukemia (AML) with a FMS-like tyrosine kinase 3 (FLT3) mutation as detected by an FDA-approved test.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Oncology</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XPOVIO- selinexor </w:t>
      </w:r>
      <w:r>
        <w:rPr/>
        <mc:AlternateContent>
          <mc:Choice Requires="wps">
            <w:drawing>
              <wp:inline>
                <wp:extent cx="6959600" cy="3175"/>
                <wp:docPr id="27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XPOVIO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100 MG/WEEK (20 MG X 5), 60 MG/WEEK (20 MG X 3), 80 MG/WEEK (20 MG X 4)</w:t>
      </w:r>
      <w:r>
        <w:rPr/>
        <w:fldChar w:fldCharType="begin"/>
      </w:r>
      <w:r>
        <w:rPr/>
        <w:instrText>XE "XPOVIO ORAL TABLET 100 MG/WEEK (20 MG X 5), 60 MG/WEEK (20 MG X 3), 80 MG/WEEK (20 MG X 4)"</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that the medication will be used in combination with dexamethasone for the treatment of adult patients with relapsed or refractory multiple myeloma (RRMM) who have received at least four prior therapies and whose disease is refractory to at least two proteasome inhibitors, at least two immunomodulatory agents, and an anti-CD38 monoclonal antibody. </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XTANDI (Enzalutamide)</w:t>
      </w:r>
      <w:r>
        <w:rPr/>
        <mc:AlternateContent>
          <mc:Choice Requires="wps">
            <w:drawing>
              <wp:inline>
                <wp:extent cx="6959600" cy="3175"/>
                <wp:docPr id="27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XTANDI</w:t>
      </w:r>
      <w:r>
        <w:rPr/>
        <w:fldChar w:fldCharType="begin"/>
      </w:r>
      <w:r>
        <w:rPr/>
        <w:instrText>XE "XTANDI"</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metastatic castration-resistant prostate cancer AND the patient has tried and had an inadequate response, contraindication or intolerance to Zytiga.</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Oncologist or urologist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try and fail Zytiga first.</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XYREM (Sodium Oxybate)</w:t>
      </w:r>
      <w:r>
        <w:rPr/>
        <mc:AlternateContent>
          <mc:Choice Requires="wps">
            <w:drawing>
              <wp:inline>
                <wp:extent cx="6959600" cy="3175"/>
                <wp:docPr id="27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XYREM</w:t>
      </w:r>
      <w:r>
        <w:rPr/>
        <w:fldChar w:fldCharType="begin"/>
      </w:r>
      <w:r>
        <w:rPr/>
        <w:instrText>XE "XYREM"</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Contraindications: Patient is being treated with sedative hypnotic agents, other CNS depressants, or using alcohol.  Patient has succinic semialdehyde dehydrogenase deficiency. Patient has a history of drug abuse.</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one of the following: A) Excessive daytime sleepiness in patients with narcolepsy AND 1. Submission of sleep study with narcolepsy diagnosis, AND 2. currently NOT taking any sedative hypnotics or other CNS depressants AND 3. has experienced inadequate response or intolerable side effects to two preferred products (modafinil, armodofinil, methylphenidate, or dextroamphetamine) AND 4. The requested dose does not exceed the FDA indicated maximum (9gm/night), or B) Cataplexy in patients with narcolepsy AND 1. Submission of sleep study showing narcolepsy diagnosis, AND 2. currently NOT taking any sedative hypnotics or other CNS depressants, AND 3. does not have sleep apnea, AND 4. The dose does not exceed the FDA indicated maximum (9gm/night).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and older </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r>
        <w:rPr>
          <w:rFonts w:ascii="Arial" w:hAnsi="Arial" w:eastAsia="Arial" w:cs="Arial"/>
          <w:b w:val="0"/>
          <w:i w:val="0"/>
          <w:color w:val="000000"/>
          <w:sz w:val="20"/>
          <w:u w:val="none"/>
        </w:rPr>
        <w:t xml:space="preserve">Neurologist</w:t>
      </w: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Initial: 3 months, Renewal: 6 months with documentation of continued benefit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Patient and physician must adhere to all regulations of the Xyrem REMS Program. For renewal, the patient had a positive response to the medication (increased sleep quality for patients with narcolepsy).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YONSA (Abiraterone)</w:t>
      </w:r>
      <w:r>
        <w:rPr/>
        <mc:AlternateContent>
          <mc:Choice Requires="wps">
            <w:drawing>
              <wp:inline>
                <wp:extent cx="6959600" cy="3175"/>
                <wp:docPr id="278"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YONSA</w:t>
      </w:r>
      <w:r>
        <w:rPr/>
        <w:fldChar w:fldCharType="begin"/>
      </w:r>
      <w:r>
        <w:rPr/>
        <w:instrText>XE "YONSA"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Documented diagnosis of metastatic castration resistant prostate cancer (CRPC)AND the medication is being used in combination with methylprednisolone AND medication not being used as dual therapy with another androgen receptor inhibitor.</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of age or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ZANOSAR (Streptozocin)</w:t>
      </w:r>
      <w:r>
        <w:rPr/>
        <mc:AlternateContent>
          <mc:Choice Requires="wps">
            <w:drawing>
              <wp:inline>
                <wp:extent cx="6959600" cy="3175"/>
                <wp:docPr id="279"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ZANOSAR</w:t>
      </w:r>
      <w:r>
        <w:rPr/>
        <w:fldChar w:fldCharType="begin"/>
      </w:r>
      <w:r>
        <w:rPr/>
        <w:instrText>XE "ZANOSAR"</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ZEMAIRA (Alpha1-Proteinase Inhibitor (Human))</w:t>
      </w:r>
      <w:r>
        <w:rPr/>
        <mc:AlternateContent>
          <mc:Choice Requires="wps">
            <w:drawing>
              <wp:inline>
                <wp:extent cx="6959600" cy="3175"/>
                <wp:docPr id="280"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ZEMAIRA</w:t>
      </w:r>
      <w:r>
        <w:rPr/>
        <w:fldChar w:fldCharType="begin"/>
      </w:r>
      <w:r>
        <w:rPr/>
        <w:instrText>XE "ZEMAIRA"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Zoledronic acid (RECLAST)</w:t>
      </w:r>
      <w:r>
        <w:rPr/>
        <mc:AlternateContent>
          <mc:Choice Requires="wps">
            <w:drawing>
              <wp:inline>
                <wp:extent cx="6959600" cy="3175"/>
                <wp:docPr id="281"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zoledronic acid-mannitol-water intravenous piggyback</w:t>
      </w:r>
      <w:r>
        <w:rPr>
          <w:rFonts w:ascii="Arial" w:hAnsi="Arial" w:eastAsia="Arial" w:cs="Arial"/>
          <w:b w:val="0"/>
          <w:i w:val="0"/>
          <w:color w:val="000000"/>
          <w:sz w:val="20"/>
          <w:u w:val="none"/>
        </w:rPr>
        <w:t xml:space="preserve"> </w:t>
      </w:r>
      <w:r>
        <w:rPr>
          <w:rFonts w:ascii="Arial" w:hAnsi="Arial" w:eastAsia="Arial" w:cs="Arial"/>
          <w:b w:val="0"/>
          <w:i/>
          <w:color w:val="000000"/>
          <w:sz w:val="20"/>
          <w:u w:val="none"/>
        </w:rPr>
        <w:t xml:space="preserve">5 mg/100 mL</w:t>
      </w:r>
      <w:r>
        <w:rPr/>
        <w:fldChar w:fldCharType="begin"/>
      </w:r>
      <w:r>
        <w:rPr/>
        <w:instrText>XE "zoledronic acid-mannitol-water intravenous piggyback 5 mg/100 mL"</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 For treatment of hypercalcemia of malignancy, must have documentation of corrected total serum calcium greater than or equal to 12 mg/dL. For Paget's disease, must have symptomatic form of disease.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Per treatment</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Paget's disease, must have documented failure, intolerance or contraindication to oral agent: alendronate OR risedronate.  For osteoporosis, must have documented failure, intolerance or contraindication to at least 2 oral bisphosphonates.</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ZOLINZA (Vorinostat)</w:t>
      </w:r>
      <w:r>
        <w:rPr/>
        <mc:AlternateContent>
          <mc:Choice Requires="wps">
            <w:drawing>
              <wp:inline>
                <wp:extent cx="6959600" cy="3175"/>
                <wp:docPr id="282"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ZOLINZA</w:t>
      </w:r>
      <w:r>
        <w:rPr/>
        <w:fldChar w:fldCharType="begin"/>
      </w:r>
      <w:r>
        <w:rPr/>
        <w:instrText>XE "ZOLINZA"</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Treatment may be continued as long as there is no evidence of progressive disease or unacceptable toxicity.</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ZORTRESS (Everolimus)</w:t>
      </w:r>
      <w:r>
        <w:rPr/>
        <mc:AlternateContent>
          <mc:Choice Requires="wps">
            <w:drawing>
              <wp:inline>
                <wp:extent cx="6959600" cy="3175"/>
                <wp:docPr id="283"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everolimus (immunosuppressive)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ZORTRESS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0.25 MG, 0.5 MG, 0.75 MG</w:t>
      </w:r>
      <w:r>
        <w:rPr/>
        <w:fldChar w:fldCharType="begin"/>
      </w:r>
      <w:r>
        <w:rPr/>
        <w:instrText>XE "everolimus (immunosuppressive)"</w:instrText>
      </w:r>
      <w:r>
        <w:rPr/>
        <w:fldChar w:fldCharType="end"/>
      </w:r>
      <w:r>
        <w:rPr/>
        <w:fldChar w:fldCharType="begin"/>
      </w:r>
      <w:r>
        <w:rPr/>
        <w:instrText>XE "ZORTRESS ORAL TABLET 0.25 MG, 0.5 MG, 0.75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Any pertinent clinical situation as defined by the product label that could affect patient safety and/or therapeutic efficacy (i.e. contraindications, warnings, precautions, adverse effects, renal or hepatic function, drug interactions, lab values, required prior or concomitant therapy, inappropriate dosing and/or duration, etc).</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Clinical documentation of FDA approved indication for treatment.</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18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6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ZYDELIG (Idelalisib)</w:t>
      </w:r>
      <w:r>
        <w:rPr/>
        <mc:AlternateContent>
          <mc:Choice Requires="wps">
            <w:drawing>
              <wp:inline>
                <wp:extent cx="6959600" cy="3175"/>
                <wp:docPr id="284"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ZYDELIG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100 MG, 150 MG</w:t>
      </w:r>
      <w:r>
        <w:rPr/>
        <w:fldChar w:fldCharType="begin"/>
      </w:r>
      <w:r>
        <w:rPr/>
        <w:instrText>XE "ZYDELIG ORAL TABLET 100 MG, 150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ZYFLO, ZYFLO CR (Zileuton)</w:t>
      </w:r>
      <w:r>
        <w:rPr/>
        <mc:AlternateContent>
          <mc:Choice Requires="wps">
            <w:drawing>
              <wp:inline>
                <wp:extent cx="6959600" cy="3175"/>
                <wp:docPr id="285"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ZYFLO</w:t>
      </w:r>
      <w:r>
        <w:rPr/>
        <w:fldChar w:fldCharType="begin"/>
      </w:r>
      <w:r>
        <w:rPr/>
        <w:instrText>XE "ZYFLO"</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Part D. </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r>
        <w:rPr>
          <w:rFonts w:ascii="Arial" w:hAnsi="Arial" w:eastAsia="Arial" w:cs="Arial"/>
          <w:b w:val="0"/>
          <w:i w:val="0"/>
          <w:color w:val="000000"/>
          <w:sz w:val="20"/>
          <w:u w:val="none"/>
        </w:rPr>
        <w:t xml:space="preserve">Any pertinent clinical situation as defined by the product label that could affect patient safety and/or therapeutic efficacy (i.e. contraindications, warnings, precautions, adverse effects, renal or hepatic function, drug interactions, lab values, required prior or concomitant therapy, inappropriate dosing and/or duration, etc).</w:t>
      </w: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Documentation of diagnosis and treatment history.</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r>
        <w:rPr>
          <w:rFonts w:ascii="Arial" w:hAnsi="Arial" w:eastAsia="Arial" w:cs="Arial"/>
          <w:b w:val="0"/>
          <w:i w:val="0"/>
          <w:color w:val="000000"/>
          <w:sz w:val="20"/>
          <w:u w:val="none"/>
        </w:rPr>
        <w:t xml:space="preserve">12 years and older.</w:t>
      </w: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Plan year</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Must have failed montelukast and zafirlukast.</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ZYKADIA (Ceritinib)</w:t>
      </w:r>
      <w:r>
        <w:rPr/>
        <mc:AlternateContent>
          <mc:Choice Requires="wps">
            <w:drawing>
              <wp:inline>
                <wp:extent cx="6959600" cy="3175"/>
                <wp:docPr id="286"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i w:val="0"/>
          <w:color w:val="000000"/>
          <w:sz w:val="20"/>
          <w:u w:val="none"/>
        </w:rPr>
        <w:t xml:space="preserve">ZYKADIA ORAL TABLET</w:t>
      </w:r>
      <w:r>
        <w:rPr/>
        <w:fldChar w:fldCharType="begin"/>
      </w:r>
      <w:r>
        <w:rPr/>
        <w:instrText>XE "ZYKADIA ORAL TABLET"</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from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pPr>
      <w:r>
        <w:rPr>
          <w:rFonts w:ascii="Arial" w:hAnsi="Arial" w:eastAsia="Arial" w:cs="Arial"/>
          <w:b w:val="0"/>
          <w:i w:val="0"/>
          <w:color w:val="000000"/>
          <w:sz w:val="20"/>
          <w:u w:val="none"/>
        </w:rPr>
        <w:t xml:space="preserve">For authorization, please submit to EviCore at evicore.com or call at 877-825-7722.</w:t>
      </w:r>
    </w:p>
    <w:p>
      <w:pPr>
        <w:spacing w:line="20" w:lineRule="exact"/>
        <w:rPr/>
      </w:pPr>
      <w:r>
        <w:rPr/>
        <w:br w:type="page"/>
      </w:r>
    </w:p>
    <w:p>
      <w:pPr>
        <w:pStyle w:val="Heading2"/>
        <w:keepNext/>
        <w:keepLines/>
        <w:spacing w:before="0" w:after="0"/>
        <w:ind w:left="0"/>
        <w:jc w:val="left"/>
        <w:rPr/>
      </w:pPr>
      <w:r>
        <w:rPr>
          <w:rFonts w:ascii="Arial" w:hAnsi="Arial" w:eastAsia="Arial" w:cs="Arial"/>
          <w:b/>
          <w:i w:val="0"/>
          <w:color w:val="000000"/>
          <w:sz w:val="20"/>
          <w:u w:val="none"/>
        </w:rPr>
        <w:t xml:space="preserve">ZYTIGA (Abiraterone)</w:t>
      </w:r>
      <w:r>
        <w:rPr/>
        <mc:AlternateContent>
          <mc:Choice Requires="wps">
            <w:drawing>
              <wp:inline>
                <wp:extent cx="6959600" cy="3175"/>
                <wp:docPr id="287" name="Line" title="" descr="Line"/>
                <a:graphic xmlns:a="http://schemas.openxmlformats.org/drawingml/2006/main">
                  <a:graphicData uri="http://schemas.microsoft.com/office/word/2010/wordprocessingShape">
                    <wps:wsp>
                      <wps:cNvSpPr/>
                      <wps:spPr>
                        <a:xfrm>
                          <a:off x="0" y="0"/>
                          <a:ext cx="6959600" cy="3175"/>
                        </a:xfrm>
                        <a:prstGeom prst="line">
                          <a:avLst/>
                        </a:prstGeom>
                        <a:solidFill>
                          <a:srgbClr val="FFFFFF">
                            <a:alpha val="100000"/>
                          </a:srgbClr>
                        </a:solidFill>
                        <a:ln cap="flat" cmpd="sng" w="12700">
                          <a:solidFill>
                            <a:srgbClr val="000000">
                              <a:alpha val="100000"/>
                            </a:srgbClr>
                          </a:solidFill>
                          <a:prstDash val="solid"/>
                          <miter/>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inline>
            </w:drawing>
          </mc:Choice>
          <mc:Fallback>
            <w:pict>
              <v:line style="margin-left:0pt;margin-top:0pt;width:548pt;height:0.25pt;z-index:2147483647;;v-text-anchor:top;mso-wrap-distance-left:0pt;mso-wrap-distance-top:0pt;mso-wrap-distance-right:0pt;mso-wrap-distance-bottom:0pt;" filled="t" fillcolor="#FFFFFF" strokecolor="#000000" strokeweight="1pt">
                <v:stroke dashstyle="solid" linestyle="single" joinstyle="miter" endcap="flat" opacity="65536f" color2="#000000" startarrow="none" startarrowwidth="medium" startarrowlength="medium" endarrow="none" endarrowwidth="medium" endarrowlength="medium"/>
                <w10:wrap type="none"/>
                <v:fill opacity="65536f" color2="#FFFFFF"/>
                <v:textbox style="">
                  <w:txbxContent/>
                </v:textbox>
              </v:line>
            </w:pict>
          </mc:Fallback>
        </mc:AlternateContent>
      </w:r>
    </w:p>
    <w:p>
      <w:pPr>
        <w:pStyle w:val="Heading2"/>
        <w:keepNext/>
        <w:keepLines/>
        <w:spacing w:before="140" w:after="0"/>
        <w:ind w:left="200"/>
        <w:jc w:val="left"/>
        <w:rPr/>
      </w:pPr>
      <w:r>
        <w:rPr>
          <w:rFonts w:ascii="Arial" w:hAnsi="Arial" w:eastAsia="Arial" w:cs="Arial"/>
          <w:b/>
          <w:i w:val="0"/>
          <w:color w:val="000000"/>
          <w:sz w:val="20"/>
          <w:u w:val="none"/>
        </w:rPr>
        <w:t xml:space="preserve">Drugs</w:t>
      </w:r>
    </w:p>
    <w:p>
      <w:pPr>
        <w:spacing w:before="0" w:after="0"/>
        <w:ind w:left="200"/>
        <w:jc w:val="left"/>
        <w:rPr/>
      </w:pPr>
      <w:r>
        <w:rPr>
          <w:rFonts w:ascii="Arial" w:hAnsi="Arial" w:eastAsia="Arial" w:cs="Arial"/>
          <w:b w:val="0"/>
          <w:i/>
          <w:color w:val="000000"/>
          <w:sz w:val="20"/>
          <w:u w:val="none"/>
        </w:rPr>
        <w:t xml:space="preserve">abiraterone</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ZYTIGA ORAL TABLET</w:t>
      </w:r>
      <w:r>
        <w:rPr>
          <w:rFonts w:ascii="Arial" w:hAnsi="Arial" w:eastAsia="Arial" w:cs="Arial"/>
          <w:b w:val="0"/>
          <w:i w:val="0"/>
          <w:color w:val="000000"/>
          <w:sz w:val="20"/>
          <w:u w:val="none"/>
        </w:rPr>
        <w:t xml:space="preserve"> </w:t>
      </w:r>
      <w:r>
        <w:rPr>
          <w:rFonts w:ascii="Arial" w:hAnsi="Arial" w:eastAsia="Arial" w:cs="Arial"/>
          <w:b/>
          <w:i w:val="0"/>
          <w:color w:val="000000"/>
          <w:sz w:val="20"/>
          <w:u w:val="none"/>
        </w:rPr>
        <w:t xml:space="preserve">250 MG, 500 MG</w:t>
      </w:r>
      <w:r>
        <w:rPr/>
        <w:fldChar w:fldCharType="begin"/>
      </w:r>
      <w:r>
        <w:rPr/>
        <w:instrText>XE "abiraterone"</w:instrText>
      </w:r>
      <w:r>
        <w:rPr/>
        <w:fldChar w:fldCharType="end"/>
      </w:r>
      <w:r>
        <w:rPr/>
        <w:fldChar w:fldCharType="begin"/>
      </w:r>
      <w:r>
        <w:rPr/>
        <w:instrText>XE "ZYTIGA ORAL TABLET 250 MG, 500 MG"</w:instrText>
      </w:r>
      <w:r>
        <w:rPr/>
        <w:fldChar w:fldCharType="end"/>
      </w:r>
    </w:p>
    <w:p>
      <w:pPr>
        <w:pStyle w:val="Heading2"/>
        <w:keepNext/>
        <w:keepLines/>
        <w:spacing w:before="100" w:after="0"/>
        <w:ind w:left="200"/>
        <w:jc w:val="left"/>
        <w:rPr/>
      </w:pPr>
      <w:r>
        <w:rPr>
          <w:rFonts w:ascii="Arial" w:hAnsi="Arial" w:eastAsia="Arial" w:cs="Arial"/>
          <w:b/>
          <w:i w:val="0"/>
          <w:color w:val="000000"/>
          <w:sz w:val="20"/>
          <w:u w:val="none"/>
        </w:rPr>
        <w:t xml:space="preserve">Covered Uses</w:t>
      </w:r>
    </w:p>
    <w:p>
      <w:pPr>
        <w:spacing w:before="0" w:after="0"/>
        <w:ind w:left="200"/>
        <w:jc w:val="left"/>
        <w:rPr/>
      </w:pPr>
      <w:r>
        <w:rPr>
          <w:rFonts w:ascii="Arial" w:hAnsi="Arial" w:eastAsia="Arial" w:cs="Arial"/>
          <w:b w:val="0"/>
          <w:i w:val="0"/>
          <w:color w:val="000000"/>
          <w:sz w:val="20"/>
          <w:u w:val="none"/>
        </w:rPr>
        <w:t xml:space="preserve">All FDA-approved indications not otherwise excluded by Health Plan.</w:t>
      </w:r>
    </w:p>
    <w:p>
      <w:pPr>
        <w:pStyle w:val="Heading2"/>
        <w:keepNext/>
        <w:keepLines/>
        <w:spacing w:before="100" w:after="0"/>
        <w:ind w:left="200"/>
        <w:jc w:val="left"/>
        <w:rPr/>
      </w:pPr>
      <w:r>
        <w:rPr>
          <w:rFonts w:ascii="Arial" w:hAnsi="Arial" w:eastAsia="Arial" w:cs="Arial"/>
          <w:b/>
          <w:i w:val="0"/>
          <w:color w:val="000000"/>
          <w:sz w:val="20"/>
          <w:u w:val="none"/>
        </w:rPr>
        <w:t xml:space="preserve">Exclusion Criteria</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Required Medical Information</w:t>
      </w:r>
    </w:p>
    <w:p>
      <w:pPr>
        <w:spacing w:before="0" w:after="0"/>
        <w:ind w:left="200"/>
        <w:jc w:val="left"/>
        <w:rPr/>
      </w:pPr>
      <w:r>
        <w:rPr>
          <w:rFonts w:ascii="Arial" w:hAnsi="Arial" w:eastAsia="Arial" w:cs="Arial"/>
          <w:b w:val="0"/>
          <w:i w:val="0"/>
          <w:color w:val="000000"/>
          <w:sz w:val="20"/>
          <w:u w:val="none"/>
        </w:rPr>
        <w:t xml:space="preserve">Diagnosis of metastatic prostate cancer AND Patient has castration-resistant disease (defined by tumor growth/disease progression, risk in PsA levels, new metastases) AND Zytiga will be used in combination with prednisone.</w:t>
      </w:r>
    </w:p>
    <w:p>
      <w:pPr>
        <w:pStyle w:val="Heading2"/>
        <w:keepNext/>
        <w:keepLines/>
        <w:spacing w:before="100" w:after="0"/>
        <w:ind w:left="200"/>
        <w:jc w:val="left"/>
        <w:rPr/>
      </w:pPr>
      <w:r>
        <w:rPr>
          <w:rFonts w:ascii="Arial" w:hAnsi="Arial" w:eastAsia="Arial" w:cs="Arial"/>
          <w:b/>
          <w:i w:val="0"/>
          <w:color w:val="000000"/>
          <w:sz w:val="20"/>
          <w:u w:val="none"/>
        </w:rPr>
        <w:t xml:space="preserve">Age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Prescriber Restriction</w:t>
      </w:r>
    </w:p>
    <w:p>
      <w:pPr>
        <w:spacing w:before="0" w:after="0"/>
        <w:ind w:left="200"/>
        <w:jc w:val="left"/>
        <w:rPr/>
      </w:pPr>
    </w:p>
    <w:p>
      <w:pPr>
        <w:pStyle w:val="Heading2"/>
        <w:keepNext/>
        <w:keepLines/>
        <w:spacing w:before="100" w:after="0"/>
        <w:ind w:left="200"/>
        <w:jc w:val="left"/>
        <w:rPr/>
      </w:pPr>
      <w:r>
        <w:rPr>
          <w:rFonts w:ascii="Arial" w:hAnsi="Arial" w:eastAsia="Arial" w:cs="Arial"/>
          <w:b/>
          <w:i w:val="0"/>
          <w:color w:val="000000"/>
          <w:sz w:val="20"/>
          <w:u w:val="none"/>
        </w:rPr>
        <w:t xml:space="preserve">Coverage Duration</w:t>
      </w:r>
    </w:p>
    <w:p>
      <w:pPr>
        <w:spacing w:before="0" w:after="0"/>
        <w:ind w:left="200"/>
        <w:jc w:val="left"/>
        <w:rPr/>
      </w:pPr>
      <w:r>
        <w:rPr>
          <w:rFonts w:ascii="Arial" w:hAnsi="Arial" w:eastAsia="Arial" w:cs="Arial"/>
          <w:b w:val="0"/>
          <w:i w:val="0"/>
          <w:color w:val="000000"/>
          <w:sz w:val="20"/>
          <w:u w:val="none"/>
        </w:rPr>
        <w:t xml:space="preserve">3 months</w:t>
      </w:r>
    </w:p>
    <w:p>
      <w:pPr>
        <w:pStyle w:val="Heading2"/>
        <w:keepNext/>
        <w:keepLines/>
        <w:spacing w:before="100" w:after="0"/>
        <w:ind w:left="200"/>
        <w:jc w:val="left"/>
        <w:rPr/>
      </w:pPr>
      <w:r>
        <w:rPr>
          <w:rFonts w:ascii="Arial" w:hAnsi="Arial" w:eastAsia="Arial" w:cs="Arial"/>
          <w:b/>
          <w:i w:val="0"/>
          <w:color w:val="000000"/>
          <w:sz w:val="20"/>
          <w:u w:val="none"/>
        </w:rPr>
        <w:t xml:space="preserve">Other Criteria</w:t>
      </w:r>
    </w:p>
    <w:p>
      <w:pPr>
        <w:spacing w:before="0" w:after="0"/>
        <w:ind w:left="200"/>
        <w:jc w:val="left"/>
        <w:rPr/>
        <w:sectPr>
          <w:footerReference w:type="even" r:id="rId1"/>
          <w:footerReference w:type="default" r:id="rId2"/>
          <w:type w:val="nextPage"/>
          <w:pgSz w:w="12240" w:h="15840"/>
          <w:pgMar w:top="640" w:right="640" w:bottom="640" w:left="640" w:gutter="0"/>
          <w:pgBorders/>
          <w:pgNumType w:fmt="decimal"/>
          <w:cols w:num="1" w:equalWidth="1" w:space="720"/>
        </w:sectPr>
      </w:pPr>
    </w:p>
    <w:p>
      <w:pPr>
        <w:spacing w:before="0" w:after="0"/>
        <w:ind w:left="0"/>
        <w:jc w:val="left"/>
        <w:rPr/>
      </w:pPr>
      <w:r>
        <w:rPr>
          <w:rFonts w:ascii="Arial" w:hAnsi="Arial" w:eastAsia="Arial" w:cs="Arial"/>
          <w:b/>
          <w:i w:val="0"/>
          <w:color w:val="000000"/>
          <w:sz w:val="21"/>
          <w:u w:val="none"/>
        </w:rPr>
        <w:t xml:space="preserve">Index</w:t>
      </w:r>
    </w:p>
    <w:p>
      <w:pPr>
        <w:spacing w:before="0" w:after="0"/>
        <w:jc w:val="left"/>
        <w:rPr/>
        <w:sectPr>
          <w:footerReference w:type="even" r:id="rId3"/>
          <w:footerReference w:type="default" r:id="rId4"/>
          <w:type w:val="nextPage"/>
          <w:pgSz w:w="12240" w:h="15840"/>
          <w:pgMar w:top="640" w:right="640" w:bottom="640" w:left="640" w:gutter="0"/>
          <w:pgBorders/>
          <w:pgNumType w:fmt="decimal"/>
          <w:cols w:num="1" w:equalWidth="1" w:space="720"/>
        </w:sectPr>
      </w:pPr>
      <w:r>
        <w:rPr/>
        <w:fldChar w:fldCharType="begin"/>
      </w:r>
      <w:r>
        <w:rPr/>
        <w:instrText>INDEX \e "</w:instrText>
      </w:r>
      <w:r>
        <w:rPr/>
        <w:tab/>
        <w:t xml:space="preserve"/>
      </w:r>
      <w:r>
        <w:rPr/>
        <w:t xml:space="preserve">" \c "3" \h "A"  \z "1033" </w:t>
      </w:r>
      <w:r>
        <w:rPr/>
        <w:fldChar w:fldCharType="separate"/>
      </w:r>
      <w:r>
        <w:rPr/>
        <w:t xml:space="preserve">INDEX \e "</w:t>
      </w:r>
      <w:r>
        <w:rPr/>
        <w:tab/>
        <w:t xml:space="preserve"/>
      </w:r>
      <w:r>
        <w:rPr/>
        <w:t xml:space="preserve">" \c "3" \h "A"  \z "1033" </w:t>
      </w:r>
      <w:r>
        <w:rPr/>
        <w:fldChar w:fldCharType="end"/>
      </w:r>
    </w:p>
    <w:p>
      <w:pPr>
        <w:pStyle w:val="Normaldc672cce-b334-41c7-b544-3b9ace5f8052"/>
        <w:autoSpaceDE w:val="false"/>
        <w:autoSpaceDN w:val="false"/>
        <w:spacing w:line="240" w:lineRule="auto"/>
        <w:rPr>
          <w:rFonts w:ascii="Arial" w:hAnsi="Arial" w:eastAsia="Arial" w:cs="Arial"/>
          <w:sz w:val="22"/>
          <w:szCs w:val="22"/>
          <w:lang w:val="en-US" w:eastAsia="ar-SA"/>
        </w:rPr>
      </w:pPr>
      <w:r>
        <w:rPr>
          <w:rFonts w:ascii="Arial" w:hAnsi="Arial" w:eastAsia="Arial" w:cs="Arial"/>
          <w:sz w:val="22"/>
          <w:szCs w:val="22"/>
        </w:rPr>
        <w:t xml:space="preserve">This formulary was updated on </w:t>
      </w:r>
      <w:r>
        <w:rPr>
          <w:rFonts w:ascii="Arial" w:hAnsi="Arial" w:eastAsia="Arial" w:cs="Arial"/>
          <w:sz w:val="22"/>
          <w:szCs w:val="22"/>
        </w:rPr>
        <w:t xml:space="preserve">03/01/2019.</w:t>
      </w:r>
      <w:r>
        <w:rPr>
          <w:rFonts w:ascii="Arial" w:hAnsi="Arial" w:eastAsia="Arial" w:cs="Arial"/>
          <w:sz w:val="22"/>
          <w:szCs w:val="22"/>
        </w:rPr>
        <w:t xml:space="preserve"> For more recent information or other questions, please call Customer Service toll-free at 1.855.443.4735 (TTY/TDD relay: 1.800.955.8771) Monday through Friday from 8 a.m. to 6 p.m.</w:t>
      </w:r>
      <w:r>
        <w:rPr>
          <w:rFonts w:ascii="Arial" w:hAnsi="Arial" w:eastAsia="Arial" w:cs="Arial"/>
          <w:sz w:val="22"/>
          <w:szCs w:val="22"/>
        </w:rPr>
        <w:br/>
      </w:r>
      <w:r>
        <w:rPr>
          <w:rFonts w:ascii="Arial" w:hAnsi="Arial" w:eastAsia="Arial" w:cs="Arial"/>
          <w:sz w:val="22"/>
          <w:szCs w:val="22"/>
        </w:rPr>
        <w:br/>
      </w:r>
      <w:r>
        <w:rPr>
          <w:rFonts w:ascii="Arial" w:hAnsi="Arial" w:eastAsia="Arial" w:cs="Arial"/>
          <w:sz w:val="22"/>
          <w:szCs w:val="22"/>
        </w:rPr>
        <w:t xml:space="preserve">You must generally use network pharmacies to use your prescription drug benefit. The Formulary or pharmacy network may change at any time. You will receive notice when necessary.</w:t>
      </w:r>
      <w:r>
        <w:rPr>
          <w:rFonts w:ascii="Arial" w:hAnsi="Arial" w:eastAsia="Arial" w:cs="Arial"/>
          <w:sz w:val="22"/>
          <w:szCs w:val="22"/>
        </w:rPr>
        <w:br/>
      </w:r>
    </w:p>
    <w:p>
      <w:pPr>
        <w:pStyle w:val="Normal_425cd869-61f7-4de2-8404-e442d7ffba9a"/>
        <w:spacing w:before="0" w:after="0" w:line="240" w:lineRule="auto"/>
        <w:rPr>
          <w:rFonts w:ascii="Arial" w:hAnsi="Arial" w:eastAsia="Arial" w:cs="Arial"/>
          <w:sz w:val="22"/>
          <w:szCs w:val="22"/>
          <w:lang w:val="en-US" w:eastAsia="ar-SA"/>
        </w:rPr>
      </w:pPr>
      <w:r>
        <w:rPr>
          <w:rFonts w:ascii="Arial" w:hAnsi="Arial" w:eastAsia="Calibri" w:cs="Arial"/>
          <w:color w:val="000000"/>
          <w:sz w:val="22"/>
          <w:szCs w:val="22"/>
        </w:rPr>
        <w:t xml:space="preserve">Health First Commercial Plans, Inc. is doing business under the name of Health First Health Plans</w:t>
      </w:r>
      <w:r>
        <w:rPr>
          <w:rFonts w:ascii="Arial" w:hAnsi="Arial" w:eastAsia="Calibri" w:cs="Arial"/>
          <w:sz w:val="22"/>
          <w:szCs w:val="22"/>
        </w:rPr>
        <w:t xml:space="preserve">. </w:t>
      </w:r>
      <w:r>
        <w:rPr>
          <w:rFonts w:ascii="Arial" w:hAnsi="Arial" w:eastAsia="Arial" w:cs="Arial"/>
          <w:sz w:val="22"/>
          <w:szCs w:val="22"/>
        </w:rPr>
        <w:t xml:space="preserve">Health First Health Plans does not discriminate on the basis of race, color, national origin, disability, age, sex, gender identity, sexual orientation, or health status in the administration of the plan, including enrollment and benefit determinations.</w:t>
      </w:r>
    </w:p>
    <w:p>
      <w:pPr>
        <w:pStyle w:val="Normal_425cd869-61f7-4de2-8404-e442d7ffba9a"/>
        <w:tabs>
          <w:tab w:val="left" w:pos="2100"/>
        </w:tabs>
        <w:spacing w:line="240" w:lineRule="auto"/>
        <w:rPr>
          <w:rFonts w:eastAsia="Arial"/>
          <w:lang w:val="en-US" w:eastAsia="ar-SA"/>
        </w:rPr>
        <w:sectPr>
          <w:headerReference w:type="first" r:id="rId5"/>
          <w:footerReference w:type="first" r:id="rId6"/>
          <w:headerReference w:type="even" r:id="rId7"/>
          <w:footerReference w:type="even" r:id="rId8"/>
          <w:headerReference w:type="default" r:id="rId9"/>
          <w:footerReference w:type="default" r:id="rId10"/>
          <w:type w:val="nextPage"/>
          <w:pgSz w:w="12240" w:h="15840"/>
          <w:pgMar w:top="720" w:right="720" w:bottom="720" w:left="720" w:header="1267" w:footer="216" w:gutter="0"/>
          <w:pgBorders/>
          <w:pgNumType w:fmt="decimal"/>
          <w:cols w:num="1" w:equalWidth="1" w:space="720"/>
          <w:docGrid w:linePitch="360"/>
        </w:sectPr>
      </w:pPr>
      <w:r>
        <w:rPr>
          <w:rFonts w:eastAsia="Arial"/>
          <w:lang w:eastAsia="ar-SA"/>
        </w:rPr>
        <w:tab/>
        <w:t xml:space="preserve"/>
      </w:r>
      <w:r>
        <w:rPr>
          <w:rFonts w:eastAsia="Arial"/>
          <w:lang w:eastAsia="ar-SA"/>
        </w:rPr>
        <w:t xml:space="preserve"/>
      </w:r>
    </w:p>
    <w:p>
      <w:pPr>
        <w:pStyle w:val="Normal9445d040-2539-417f-b9e9-ef31b3bd6d1d"/>
        <w:spacing w:after="0" w:line="240" w:lineRule="auto"/>
        <w:rPr>
          <w:rFonts w:ascii="Arial" w:hAnsi="Arial" w:eastAsia="Arial" w:cs="Arial"/>
          <w:b/>
          <w:sz w:val="22"/>
          <w:szCs w:val="22"/>
          <w:lang w:val="en-US" w:eastAsia="ar-SA"/>
        </w:rPr>
      </w:pPr>
      <w:r>
        <w:rPr>
          <w:noProof/>
        </w:rPr>
        <w:drawing>
          <wp:anchor distT="0" distB="0" distL="114300" distR="114300" simplePos="0" relativeHeight="251659264" behindDoc="1" locked="0" layoutInCell="1" allowOverlap="1">
            <wp:simplePos x="0" y="0"/>
            <wp:positionH relativeFrom="margin">
              <wp:posOffset>-227076</wp:posOffset>
            </wp:positionH>
            <wp:positionV relativeFrom="page">
              <wp:posOffset>182880</wp:posOffset>
            </wp:positionV>
            <wp:extent cx="7315200" cy="1773936"/>
            <wp:effectExtent xmlns:wp="http://schemas.openxmlformats.org/drawingml/2006/wordprocessingDrawing" l="0" t="0" r="0" b="0"/>
            <wp:wrapNone/>
            <wp:docPr id="288" name="Picture 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a:srcRect/>
                    <a:stretch>
                      <a:fillRect/>
                    </a:stretch>
                  </pic:blipFill>
                  <pic:spPr bwMode="auto">
                    <a:xfrm>
                      <a:off x="0" y="0"/>
                      <a:ext cx="7315200" cy="1773936"/>
                    </a:xfrm>
                    <a:prstGeom prst="rect">
                      <a:avLst/>
                    </a:prstGeom>
                  </pic:spPr>
                </pic:pic>
              </a:graphicData>
            </a:graphic>
          </wp:anchor>
        </w:drawing>
      </w:r>
    </w:p>
    <w:p>
      <w:pPr>
        <w:pStyle w:val="Normal627bd951-cc39-48b3-a5c7-dd2be265fbd2"/>
        <w:spacing w:line="240" w:lineRule="auto"/>
        <w:rPr>
          <w:rFonts w:eastAsia="Arial"/>
          <w:lang w:val="en-US" w:eastAsia="ar-SA"/>
        </w:rPr>
      </w:pPr>
    </w:p>
    <w:p>
      <w:pPr>
        <w:pStyle w:val="Normal9445d040-2539-417f-b9e9-ef31b3bd6d1d"/>
        <w:spacing w:after="0" w:line="240" w:lineRule="auto"/>
        <w:jc w:val="center"/>
        <w:rPr>
          <w:rFonts w:ascii="Arial" w:hAnsi="Arial" w:eastAsia="Arial" w:cs="Arial"/>
          <w:b/>
          <w:sz w:val="22"/>
          <w:szCs w:val="22"/>
          <w:lang w:val="en-US" w:eastAsia="ar-SA"/>
        </w:rPr>
      </w:pPr>
    </w:p>
    <w:p>
      <w:pPr>
        <w:pStyle w:val="Normal9445d040-2539-417f-b9e9-ef31b3bd6d1d"/>
        <w:spacing w:after="0" w:line="240" w:lineRule="auto"/>
        <w:jc w:val="center"/>
        <w:rPr>
          <w:rFonts w:ascii="Arial" w:hAnsi="Arial" w:eastAsia="Arial" w:cs="Arial"/>
          <w:b/>
          <w:szCs w:val="22"/>
          <w:lang w:val="en-US" w:eastAsia="ar-SA"/>
        </w:rPr>
      </w:pPr>
      <w:r>
        <w:rPr>
          <w:rFonts w:ascii="Arial" w:hAnsi="Arial" w:eastAsia="Arial" w:cs="Arial"/>
          <w:b/>
          <w:szCs w:val="22"/>
        </w:rPr>
        <w:t xml:space="preserve">Nondiscrimination Notice</w:t>
      </w:r>
    </w:p>
    <w:p>
      <w:pPr>
        <w:pStyle w:val="Normal9445d040-2539-417f-b9e9-ef31b3bd6d1d"/>
        <w:spacing w:after="0" w:line="240" w:lineRule="auto"/>
        <w:jc w:val="center"/>
        <w:rPr>
          <w:rFonts w:ascii="Arial" w:hAnsi="Arial" w:eastAsia="Arial" w:cs="Arial"/>
          <w:sz w:val="22"/>
          <w:szCs w:val="22"/>
          <w:lang w:val="en-US" w:eastAsia="ar-SA"/>
        </w:rPr>
      </w:pPr>
    </w:p>
    <w:p>
      <w:pPr>
        <w:pStyle w:val="Normal_66aeea3a-c70d-4cf8-9bad-5448b75b89f3"/>
        <w:widowControl w:val="false"/>
        <w:autoSpaceDE w:val="false"/>
        <w:autoSpaceDN w:val="false"/>
        <w:spacing w:before="92" w:after="0" w:line="276" w:lineRule="auto"/>
        <w:ind w:right="470"/>
        <w:rPr>
          <w:rFonts w:ascii="Arial" w:hAnsi="Arial" w:eastAsia="Arial" w:cs="Arial"/>
          <w:sz w:val="22"/>
          <w:szCs w:val="22"/>
          <w:lang w:val="en-US" w:eastAsia="en-US"/>
        </w:rPr>
      </w:pPr>
      <w:r>
        <w:rPr>
          <w:rFonts w:ascii="Arial" w:hAnsi="Arial" w:eastAsia="Arial" w:cs="Arial"/>
          <w:sz w:val="22"/>
          <w:szCs w:val="22"/>
          <w:lang w:eastAsia="en-US"/>
        </w:rPr>
        <w:t xml:space="preserve">Health First Health Plans complies with applicable Federal civil rights laws and does not discriminate on the basis of race, color, national origin, age, disability, or sex. Health First Health Plans does not exclude people or treat them differently because of race, color, national origin, age, disability, or sex.</w:t>
      </w:r>
    </w:p>
    <w:p>
      <w:pPr>
        <w:pStyle w:val="Normal_66aeea3a-c70d-4cf8-9bad-5448b75b89f3"/>
        <w:widowControl w:val="false"/>
        <w:autoSpaceDE w:val="false"/>
        <w:autoSpaceDN w:val="false"/>
        <w:spacing w:before="200" w:after="0" w:line="240" w:lineRule="auto"/>
        <w:rPr>
          <w:rFonts w:ascii="Arial" w:hAnsi="Arial" w:eastAsia="Arial" w:cs="Arial"/>
          <w:sz w:val="22"/>
          <w:szCs w:val="22"/>
          <w:lang w:val="en-US" w:eastAsia="en-US"/>
        </w:rPr>
      </w:pPr>
      <w:r>
        <w:rPr>
          <w:rFonts w:ascii="Arial" w:hAnsi="Arial" w:eastAsia="Arial" w:cs="Arial"/>
          <w:sz w:val="22"/>
          <w:szCs w:val="22"/>
          <w:lang w:eastAsia="en-US"/>
        </w:rPr>
        <w:t xml:space="preserve">Health First Health Plans:</w:t>
      </w:r>
      <w:r>
        <w:rPr>
          <w:rFonts w:ascii="Arial" w:hAnsi="Arial" w:eastAsia="Arial" w:cs="Arial"/>
          <w:sz w:val="22"/>
          <w:szCs w:val="22"/>
          <w:lang w:eastAsia="en-US"/>
        </w:rPr>
        <w:br/>
      </w:r>
    </w:p>
    <w:p>
      <w:pPr>
        <w:pStyle w:val="Normal_66aeea3a-c70d-4cf8-9bad-5448b75b89f3"/>
        <w:widowControl w:val="false"/>
        <w:numPr>
          <w:ilvl w:val="0"/>
          <w:numId w:val="3"/>
        </w:numPr>
        <w:autoSpaceDE w:val="false"/>
        <w:autoSpaceDN w:val="false"/>
        <w:spacing w:before="1" w:after="0" w:line="276" w:lineRule="auto"/>
        <w:ind w:left="540" w:right="270" w:hanging="270"/>
        <w:rPr>
          <w:rFonts w:ascii="Arial" w:hAnsi="Arial" w:eastAsia="Arial" w:cs="Arial"/>
          <w:sz w:val="22"/>
          <w:szCs w:val="22"/>
          <w:lang w:val="en-US" w:eastAsia="en-US"/>
        </w:rPr>
      </w:pPr>
      <w:r>
        <w:rPr>
          <w:rFonts w:ascii="Arial" w:hAnsi="Arial" w:eastAsia="Arial" w:cs="Arial"/>
          <w:sz w:val="22"/>
          <w:szCs w:val="22"/>
          <w:lang w:eastAsia="en-US"/>
        </w:rPr>
        <w:t xml:space="preserve">Provides free aids and services to people with disabilities to communicate effectively with us, such as:</w:t>
      </w:r>
    </w:p>
    <w:p>
      <w:pPr>
        <w:pStyle w:val="Normal_66aeea3a-c70d-4cf8-9bad-5448b75b89f3"/>
        <w:widowControl w:val="false"/>
        <w:numPr>
          <w:ilvl w:val="1"/>
          <w:numId w:val="3"/>
        </w:numPr>
        <w:autoSpaceDE w:val="false"/>
        <w:autoSpaceDN w:val="false"/>
        <w:spacing w:before="118" w:after="0" w:line="240" w:lineRule="auto"/>
        <w:ind w:left="900" w:right="470"/>
        <w:rPr>
          <w:rFonts w:ascii="Arial" w:hAnsi="Arial" w:eastAsia="Arial" w:cs="Arial"/>
          <w:sz w:val="22"/>
          <w:szCs w:val="22"/>
          <w:lang w:val="en-US" w:eastAsia="en-US"/>
        </w:rPr>
      </w:pPr>
      <w:r>
        <w:rPr>
          <w:rFonts w:ascii="Arial" w:hAnsi="Arial" w:eastAsia="Arial" w:cs="Arial"/>
          <w:sz w:val="22"/>
          <w:szCs w:val="22"/>
          <w:lang w:eastAsia="en-US"/>
        </w:rPr>
        <w:t xml:space="preserve">Qualified sign language interpreters</w:t>
      </w:r>
    </w:p>
    <w:p>
      <w:pPr>
        <w:pStyle w:val="Normal_66aeea3a-c70d-4cf8-9bad-5448b75b89f3"/>
        <w:widowControl w:val="false"/>
        <w:numPr>
          <w:ilvl w:val="1"/>
          <w:numId w:val="3"/>
        </w:numPr>
        <w:autoSpaceDE w:val="false"/>
        <w:autoSpaceDN w:val="false"/>
        <w:spacing w:before="39" w:after="0" w:line="240" w:lineRule="auto"/>
        <w:ind w:left="900" w:right="470"/>
        <w:rPr>
          <w:rFonts w:ascii="Arial" w:hAnsi="Arial" w:eastAsia="Arial" w:cs="Arial"/>
          <w:sz w:val="22"/>
          <w:szCs w:val="22"/>
          <w:lang w:val="en-US" w:eastAsia="en-US"/>
        </w:rPr>
      </w:pPr>
      <w:r>
        <w:rPr>
          <w:rFonts w:ascii="Arial" w:hAnsi="Arial" w:eastAsia="Arial" w:cs="Arial"/>
          <w:sz w:val="22"/>
          <w:szCs w:val="22"/>
          <w:lang w:eastAsia="en-US"/>
        </w:rPr>
        <w:t xml:space="preserve">Written information in other formats (large print, accessible electronic formats)</w:t>
      </w:r>
    </w:p>
    <w:p>
      <w:pPr>
        <w:pStyle w:val="Normal_66aeea3a-c70d-4cf8-9bad-5448b75b89f3"/>
        <w:widowControl w:val="false"/>
        <w:autoSpaceDE w:val="false"/>
        <w:autoSpaceDN w:val="false"/>
        <w:spacing w:before="9" w:after="0" w:line="240" w:lineRule="auto"/>
        <w:rPr>
          <w:rFonts w:ascii="Arial" w:hAnsi="Arial" w:eastAsia="Arial" w:cs="Arial"/>
          <w:sz w:val="20"/>
          <w:szCs w:val="22"/>
          <w:lang w:val="en-US" w:eastAsia="en-US"/>
        </w:rPr>
      </w:pPr>
    </w:p>
    <w:p>
      <w:pPr>
        <w:pStyle w:val="Normal_66aeea3a-c70d-4cf8-9bad-5448b75b89f3"/>
        <w:widowControl w:val="false"/>
        <w:numPr>
          <w:ilvl w:val="0"/>
          <w:numId w:val="3"/>
        </w:numPr>
        <w:autoSpaceDE w:val="false"/>
        <w:autoSpaceDN w:val="false"/>
        <w:spacing w:before="158" w:after="0" w:line="240" w:lineRule="auto"/>
        <w:ind w:left="540" w:right="470" w:hanging="270"/>
        <w:rPr>
          <w:rFonts w:ascii="Arial" w:hAnsi="Arial" w:eastAsia="Arial" w:cs="Arial"/>
          <w:sz w:val="22"/>
          <w:szCs w:val="22"/>
          <w:lang w:val="en-US" w:eastAsia="en-US"/>
        </w:rPr>
      </w:pPr>
      <w:r>
        <w:rPr>
          <w:rFonts w:ascii="Arial" w:hAnsi="Arial" w:eastAsia="Arial" w:cs="Arial"/>
          <w:sz w:val="22"/>
          <w:szCs w:val="22"/>
          <w:lang w:eastAsia="en-US"/>
        </w:rPr>
        <w:t xml:space="preserve">Provides free language services to people whose primary language is not English, such as:</w:t>
      </w:r>
    </w:p>
    <w:p>
      <w:pPr>
        <w:pStyle w:val="Normal_66aeea3a-c70d-4cf8-9bad-5448b75b89f3"/>
        <w:widowControl w:val="false"/>
        <w:numPr>
          <w:ilvl w:val="1"/>
          <w:numId w:val="3"/>
        </w:numPr>
        <w:autoSpaceDE w:val="false"/>
        <w:autoSpaceDN w:val="false"/>
        <w:spacing w:before="158" w:after="0" w:line="240" w:lineRule="auto"/>
        <w:ind w:left="900" w:right="470"/>
        <w:rPr>
          <w:rFonts w:ascii="Arial" w:hAnsi="Arial" w:eastAsia="Arial" w:cs="Arial"/>
          <w:sz w:val="22"/>
          <w:szCs w:val="22"/>
          <w:lang w:val="en-US" w:eastAsia="en-US"/>
        </w:rPr>
      </w:pPr>
      <w:r>
        <w:rPr>
          <w:rFonts w:ascii="Arial" w:hAnsi="Arial" w:eastAsia="Arial" w:cs="Arial"/>
          <w:sz w:val="22"/>
          <w:szCs w:val="22"/>
          <w:lang w:eastAsia="en-US"/>
        </w:rPr>
        <w:t xml:space="preserve">Qualified interpreters</w:t>
      </w:r>
    </w:p>
    <w:p>
      <w:pPr>
        <w:pStyle w:val="Normal_66aeea3a-c70d-4cf8-9bad-5448b75b89f3"/>
        <w:widowControl w:val="false"/>
        <w:numPr>
          <w:ilvl w:val="1"/>
          <w:numId w:val="3"/>
        </w:numPr>
        <w:autoSpaceDE w:val="false"/>
        <w:autoSpaceDN w:val="false"/>
        <w:spacing w:before="38" w:after="0" w:line="240" w:lineRule="auto"/>
        <w:ind w:left="900" w:right="470"/>
        <w:rPr>
          <w:rFonts w:ascii="Arial" w:hAnsi="Arial" w:eastAsia="Arial" w:cs="Arial"/>
          <w:sz w:val="22"/>
          <w:szCs w:val="22"/>
          <w:lang w:val="en-US" w:eastAsia="en-US"/>
        </w:rPr>
      </w:pPr>
      <w:r>
        <w:rPr>
          <w:rFonts w:ascii="Arial" w:hAnsi="Arial" w:eastAsia="Arial" w:cs="Arial"/>
          <w:sz w:val="22"/>
          <w:szCs w:val="22"/>
          <w:lang w:eastAsia="en-US"/>
        </w:rPr>
        <w:t xml:space="preserve">Information written in other languages</w:t>
      </w:r>
    </w:p>
    <w:p>
      <w:pPr>
        <w:pStyle w:val="Normal_66aeea3a-c70d-4cf8-9bad-5448b75b89f3"/>
        <w:widowControl w:val="false"/>
        <w:autoSpaceDE w:val="false"/>
        <w:autoSpaceDN w:val="false"/>
        <w:spacing w:before="158" w:after="0" w:line="240" w:lineRule="auto"/>
        <w:ind w:right="470"/>
        <w:rPr>
          <w:rFonts w:ascii="Arial" w:hAnsi="Arial" w:eastAsia="Arial" w:cs="Arial"/>
          <w:sz w:val="22"/>
          <w:szCs w:val="22"/>
          <w:lang w:val="en-US" w:eastAsia="en-US"/>
        </w:rPr>
      </w:pPr>
      <w:r>
        <w:rPr>
          <w:rFonts w:ascii="Arial" w:hAnsi="Arial" w:eastAsia="Arial" w:cs="Arial"/>
          <w:sz w:val="22"/>
          <w:szCs w:val="22"/>
          <w:lang w:eastAsia="en-US"/>
        </w:rPr>
        <w:t xml:space="preserve">If you need these services, please contact our Civil Rights Coordinator.</w:t>
      </w:r>
    </w:p>
    <w:p>
      <w:pPr>
        <w:pStyle w:val="Normal_66aeea3a-c70d-4cf8-9bad-5448b75b89f3"/>
        <w:widowControl w:val="false"/>
        <w:autoSpaceDE w:val="false"/>
        <w:autoSpaceDN w:val="false"/>
        <w:spacing w:before="8" w:after="0" w:line="240" w:lineRule="auto"/>
        <w:ind w:right="470"/>
        <w:rPr>
          <w:rFonts w:ascii="Arial" w:hAnsi="Arial" w:eastAsia="Arial" w:cs="Arial"/>
          <w:sz w:val="20"/>
          <w:szCs w:val="22"/>
          <w:lang w:val="en-US" w:eastAsia="en-US"/>
        </w:rPr>
      </w:pPr>
    </w:p>
    <w:p>
      <w:pPr>
        <w:pStyle w:val="Normal_66aeea3a-c70d-4cf8-9bad-5448b75b89f3"/>
        <w:widowControl w:val="false"/>
        <w:autoSpaceDE w:val="false"/>
        <w:autoSpaceDN w:val="false"/>
        <w:spacing w:before="0" w:after="0" w:line="276" w:lineRule="auto"/>
        <w:ind w:right="470"/>
        <w:rPr>
          <w:rFonts w:ascii="Arial" w:hAnsi="Arial" w:eastAsia="Arial" w:cs="Arial"/>
          <w:sz w:val="22"/>
          <w:szCs w:val="22"/>
          <w:lang w:val="en-US" w:eastAsia="en-US"/>
        </w:rPr>
      </w:pPr>
      <w:r>
        <w:rPr>
          <w:rFonts w:ascii="Arial" w:hAnsi="Arial" w:eastAsia="Arial" w:cs="Arial"/>
          <w:sz w:val="22"/>
          <w:szCs w:val="22"/>
          <w:lang w:eastAsia="en-US"/>
        </w:rPr>
        <w:t xml:space="preserve">If you believe that Health First Health Plans has failed to provide these services or discriminated in another way on the basis of race, color, national origin, age, disability, or sex, you can file a grievance with: Civil Rights Coordinator, 6450 US Highway 1, Rockledge, FL 32955, 321-434-4521, 1-800-955- 8771 (TTY), Fax: 321-434-4362, </w:t>
      </w:r>
      <w:hyperlink r:id="rId12" w:history="1">
        <w:r>
          <w:rPr>
            <w:rFonts w:ascii="Arial" w:hAnsi="Arial" w:eastAsia="Arial" w:cs="Arial"/>
            <w:color w:val="0000FF"/>
            <w:sz w:val="22"/>
            <w:szCs w:val="22"/>
            <w:u w:val="single"/>
            <w:lang w:eastAsia="en-US"/>
          </w:rPr>
          <w:t xml:space="preserve">civilrightscoordinator@hf.org</w:t>
        </w:r>
        <w:r>
          <w:rPr>
            <w:rFonts w:ascii="Arial" w:hAnsi="Arial" w:eastAsia="Arial" w:cs="Arial"/>
            <w:sz w:val="22"/>
            <w:szCs w:val="22"/>
            <w:lang w:eastAsia="en-US"/>
          </w:rPr>
          <w:t xml:space="preserve">.</w:t>
        </w:r>
      </w:hyperlink>
      <w:r>
        <w:rPr>
          <w:rFonts w:ascii="Arial" w:hAnsi="Arial" w:eastAsia="Arial" w:cs="Arial"/>
          <w:sz w:val="22"/>
          <w:szCs w:val="22"/>
          <w:lang w:eastAsia="en-US"/>
        </w:rPr>
        <w:t xml:space="preserve"> You can file a grievance in person or by mail, fax, or email. If you need help filing a grievance our Civil Rights Coordinator is available to help you.</w:t>
      </w:r>
    </w:p>
    <w:p>
      <w:pPr>
        <w:pStyle w:val="Normal_66aeea3a-c70d-4cf8-9bad-5448b75b89f3"/>
        <w:widowControl w:val="false"/>
        <w:autoSpaceDE w:val="false"/>
        <w:autoSpaceDN w:val="false"/>
        <w:spacing w:before="201" w:after="0" w:line="276" w:lineRule="auto"/>
        <w:ind w:right="450"/>
        <w:rPr>
          <w:rFonts w:ascii="Arial" w:hAnsi="Arial" w:eastAsia="Arial" w:cs="Arial"/>
          <w:sz w:val="22"/>
          <w:szCs w:val="22"/>
          <w:lang w:val="en-US" w:eastAsia="en-US"/>
        </w:rPr>
      </w:pPr>
      <w:r>
        <w:rPr>
          <w:rFonts w:ascii="Arial" w:hAnsi="Arial" w:eastAsia="Arial" w:cs="Arial"/>
          <w:sz w:val="22"/>
          <w:szCs w:val="22"/>
          <w:lang w:eastAsia="en-US"/>
        </w:rPr>
        <w:t xml:space="preserve">You can also file a civil rights complaint with the U.S. Department of Health and Human Services, Office for Civil Rights electronically through the Office for Civil Rights Complaint Portal, available at </w:t>
      </w:r>
      <w:hyperlink r:id="rId13" w:history="1">
        <w:r>
          <w:rPr>
            <w:rFonts w:ascii="Arial" w:hAnsi="Arial" w:eastAsia="Arial" w:cs="Arial"/>
            <w:i/>
            <w:color w:val="0000FF"/>
            <w:sz w:val="22"/>
            <w:szCs w:val="22"/>
            <w:u w:val="single"/>
            <w:lang w:eastAsia="en-US"/>
          </w:rPr>
          <w:t xml:space="preserve">https://ocrportal.hhs.gov/ocr/portal/lobby.jsf</w:t>
        </w:r>
      </w:hyperlink>
      <w:r>
        <w:rPr>
          <w:rFonts w:ascii="Arial" w:hAnsi="Arial" w:eastAsia="Arial" w:cs="Arial"/>
          <w:i/>
          <w:sz w:val="22"/>
          <w:szCs w:val="22"/>
          <w:lang w:eastAsia="en-US"/>
        </w:rPr>
        <w:t xml:space="preserve">, </w:t>
      </w:r>
      <w:r>
        <w:rPr>
          <w:rFonts w:ascii="Arial" w:hAnsi="Arial" w:eastAsia="Arial" w:cs="Arial"/>
          <w:sz w:val="22"/>
          <w:szCs w:val="22"/>
          <w:lang w:eastAsia="en-US"/>
        </w:rPr>
        <w:t xml:space="preserve">or by mail or phone at: U.S. Department of Health and Human Services, 200 Independence Avenue SW., Room 509F, HHH Building, Washington, DC 20201, 1-800-368-1019, 800-537-7697 (TDD).</w:t>
      </w:r>
    </w:p>
    <w:p>
      <w:pPr>
        <w:pStyle w:val="Normal_66aeea3a-c70d-4cf8-9bad-5448b75b89f3"/>
        <w:widowControl w:val="false"/>
        <w:autoSpaceDE w:val="false"/>
        <w:autoSpaceDN w:val="false"/>
        <w:spacing w:before="199" w:after="0" w:line="240" w:lineRule="auto"/>
        <w:ind w:right="470"/>
        <w:rPr>
          <w:rFonts w:ascii="Arial" w:hAnsi="Arial" w:eastAsia="Arial" w:cs="Arial"/>
          <w:i/>
          <w:sz w:val="22"/>
          <w:szCs w:val="22"/>
          <w:lang w:val="en-US" w:eastAsia="en-US"/>
        </w:rPr>
      </w:pPr>
      <w:r>
        <w:rPr>
          <w:rFonts w:ascii="Arial" w:hAnsi="Arial" w:eastAsia="Arial" w:cs="Arial"/>
          <w:sz w:val="22"/>
          <w:szCs w:val="22"/>
          <w:lang w:eastAsia="en-US"/>
        </w:rPr>
        <w:t xml:space="preserve">Complaint forms are available at </w:t>
      </w:r>
      <w:hyperlink r:id="rId14" w:history="1">
        <w:r>
          <w:rPr>
            <w:rFonts w:ascii="Arial" w:hAnsi="Arial" w:eastAsia="Arial" w:cs="Arial"/>
            <w:i/>
            <w:color w:val="0000FF"/>
            <w:sz w:val="22"/>
            <w:szCs w:val="22"/>
            <w:u w:val="single"/>
            <w:lang w:eastAsia="en-US"/>
          </w:rPr>
          <w:t xml:space="preserve">http://www.hhs.gov/ocr/office/file/index.html</w:t>
        </w:r>
      </w:hyperlink>
      <w:r>
        <w:rPr>
          <w:rFonts w:ascii="Arial" w:hAnsi="Arial" w:eastAsia="Arial" w:cs="Arial"/>
          <w:i/>
          <w:sz w:val="22"/>
          <w:szCs w:val="22"/>
          <w:lang w:eastAsia="en-US"/>
        </w:rPr>
        <w:t xml:space="preserve">.</w:t>
      </w:r>
    </w:p>
    <w:p>
      <w:pPr>
        <w:pStyle w:val="Normal9445d040-2539-417f-b9e9-ef31b3bd6d1d"/>
        <w:spacing w:after="0" w:line="240" w:lineRule="auto"/>
        <w:rPr>
          <w:rFonts w:ascii="Arial" w:hAnsi="Arial" w:eastAsia="Arial" w:cs="Arial"/>
          <w:sz w:val="22"/>
          <w:szCs w:val="22"/>
          <w:lang w:val="en-US" w:eastAsia="ar-SA"/>
        </w:rPr>
      </w:pPr>
    </w:p>
    <w:p>
      <w:pPr>
        <w:pStyle w:val="Normal_66aeea3a-c70d-4cf8-9bad-5448b75b89f3"/>
        <w:widowControl w:val="false"/>
        <w:autoSpaceDE w:val="false"/>
        <w:autoSpaceDN w:val="false"/>
        <w:spacing w:before="92" w:after="0" w:line="276" w:lineRule="auto"/>
        <w:ind w:right="470"/>
        <w:rPr>
          <w:rFonts w:ascii="Arial" w:hAnsi="Arial" w:eastAsia="Arial" w:cs="Arial"/>
          <w:sz w:val="22"/>
          <w:szCs w:val="22"/>
          <w:lang w:val="en-US" w:eastAsia="en-US"/>
        </w:rPr>
      </w:pPr>
      <w:r>
        <w:rPr>
          <w:rFonts w:ascii="Arial" w:hAnsi="Arial" w:eastAsia="Arial" w:cs="Arial"/>
          <w:sz w:val="22"/>
          <w:szCs w:val="22"/>
          <w:lang w:eastAsia="en-US"/>
        </w:rPr>
        <w:t xml:space="preserve">Health First Commercial Plans, Inc. is doing business under the name of Health First Health Plans. Health First Health Plans does not discriminate on the basis of race, color, national origin, disability, age, sex, gender identity, sexual orientation, or health status in the administration of the plan, including enrollment and benefit determinations.</w:t>
      </w:r>
    </w:p>
    <w:p>
      <w:pPr>
        <w:pStyle w:val="Normal_66aeea3a-c70d-4cf8-9bad-5448b75b89f3"/>
        <w:spacing w:line="240" w:lineRule="auto"/>
        <w:rPr>
          <w:rFonts w:eastAsia="Arial"/>
          <w:lang w:val="en-US" w:eastAsia="ar-SA"/>
        </w:rPr>
      </w:pPr>
    </w:p>
    <w:p>
      <w:pPr>
        <w:pStyle w:val="Normal9445d040-2539-417f-b9e9-ef31b3bd6d1d"/>
        <w:spacing w:line="240" w:lineRule="auto"/>
        <w:rPr>
          <w:rFonts w:ascii="Arial" w:hAnsi="Arial" w:eastAsia="Arial" w:cs="Arial"/>
          <w:lang w:val="en-US" w:eastAsia="ar-SA"/>
        </w:rPr>
      </w:pPr>
      <w:r>
        <w:rPr>
          <w:rFonts w:ascii="Arial" w:hAnsi="Arial" w:eastAsia="Arial" w:cs="Arial"/>
        </w:rPr>
        <w:t xml:space="preserve">36194_MPINFO324 (05/2019)</w:t>
      </w:r>
    </w:p>
    <w:p>
      <w:pPr>
        <w:pStyle w:val="Normal_66aeea3a-c70d-4cf8-9bad-5448b75b89f3"/>
        <w:spacing w:before="0" w:after="0" w:line="240" w:lineRule="auto"/>
        <w:rPr>
          <w:lang w:val="en-US" w:eastAsia="ar-SA"/>
        </w:rPr>
      </w:pPr>
      <w:r>
        <w:rPr/>
        <w:br w:type="page"/>
      </w:r>
    </w:p>
    <w:p>
      <w:pPr>
        <w:pStyle w:val="Normal_66aeea3a-c70d-4cf8-9bad-5448b75b89f3"/>
        <w:widowControl w:val="false"/>
        <w:autoSpaceDE w:val="false"/>
        <w:autoSpaceDN w:val="false"/>
        <w:spacing w:before="0" w:after="0" w:line="280" w:lineRule="exact"/>
        <w:outlineLvl w:val="1"/>
        <w:rPr>
          <w:rFonts w:ascii="Arial" w:hAnsi="Arial" w:eastAsia="Arial" w:cs="Arial"/>
          <w:b/>
          <w:bCs/>
          <w:sz w:val="22"/>
          <w:szCs w:val="22"/>
          <w:lang w:val="en-US" w:eastAsia="en-US"/>
        </w:rPr>
      </w:pPr>
    </w:p>
    <w:p>
      <w:pPr>
        <w:pStyle w:val="Normal_66aeea3a-c70d-4cf8-9bad-5448b75b89f3"/>
        <w:widowControl w:val="false"/>
        <w:autoSpaceDE w:val="false"/>
        <w:autoSpaceDN w:val="false"/>
        <w:spacing w:before="0" w:after="0" w:line="280" w:lineRule="exact"/>
        <w:outlineLvl w:val="1"/>
        <w:rPr>
          <w:rFonts w:ascii="Arial" w:hAnsi="Arial" w:eastAsia="Arial" w:cs="Arial"/>
          <w:b/>
          <w:bCs/>
          <w:sz w:val="22"/>
          <w:szCs w:val="22"/>
          <w:lang w:val="en-US" w:eastAsia="en-US"/>
        </w:rPr>
      </w:pPr>
    </w:p>
    <w:p>
      <w:pPr>
        <w:pStyle w:val="Normal_66aeea3a-c70d-4cf8-9bad-5448b75b89f3"/>
        <w:widowControl w:val="false"/>
        <w:autoSpaceDE w:val="false"/>
        <w:autoSpaceDN w:val="false"/>
        <w:spacing w:before="0" w:after="0" w:line="280" w:lineRule="exact"/>
        <w:outlineLvl w:val="1"/>
        <w:rPr>
          <w:rFonts w:ascii="Arial" w:hAnsi="Arial" w:eastAsia="Arial" w:cs="Arial"/>
          <w:b/>
          <w:bCs/>
          <w:sz w:val="22"/>
          <w:szCs w:val="22"/>
          <w:lang w:val="en-US" w:eastAsia="en-US"/>
        </w:rPr>
      </w:pPr>
    </w:p>
    <w:p>
      <w:pPr>
        <w:pStyle w:val="Normal_66aeea3a-c70d-4cf8-9bad-5448b75b89f3"/>
        <w:widowControl w:val="false"/>
        <w:autoSpaceDE w:val="false"/>
        <w:autoSpaceDN w:val="false"/>
        <w:spacing w:before="0" w:after="0" w:line="280" w:lineRule="exact"/>
        <w:outlineLvl w:val="1"/>
        <w:rPr>
          <w:rFonts w:ascii="Arial" w:hAnsi="Arial" w:eastAsia="Arial" w:cs="Arial"/>
          <w:b/>
          <w:bCs/>
          <w:sz w:val="22"/>
          <w:szCs w:val="22"/>
          <w:lang w:val="en-US" w:eastAsia="en-US"/>
        </w:rPr>
      </w:pPr>
    </w:p>
    <w:p>
      <w:pPr>
        <w:pStyle w:val="Normal_66aeea3a-c70d-4cf8-9bad-5448b75b89f3"/>
        <w:widowControl w:val="false"/>
        <w:autoSpaceDE w:val="false"/>
        <w:autoSpaceDN w:val="false"/>
        <w:spacing w:before="0" w:after="0" w:line="280" w:lineRule="exact"/>
        <w:outlineLvl w:val="1"/>
        <w:rPr>
          <w:rFonts w:ascii="Arial" w:hAnsi="Arial" w:eastAsia="Arial" w:cs="Arial"/>
          <w:b/>
          <w:bCs/>
          <w:sz w:val="22"/>
          <w:szCs w:val="22"/>
          <w:lang w:val="en-US" w:eastAsia="en-US"/>
        </w:rPr>
      </w:pPr>
    </w:p>
    <w:p>
      <w:pPr>
        <w:pStyle w:val="Normal_66aeea3a-c70d-4cf8-9bad-5448b75b89f3"/>
        <w:widowControl w:val="false"/>
        <w:autoSpaceDE w:val="false"/>
        <w:autoSpaceDN w:val="false"/>
        <w:spacing w:before="0" w:after="0" w:line="280" w:lineRule="exact"/>
        <w:outlineLvl w:val="1"/>
        <w:rPr>
          <w:rFonts w:ascii="Arial" w:hAnsi="Arial" w:eastAsia="Arial" w:cs="Arial"/>
          <w:b/>
          <w:bCs/>
          <w:sz w:val="22"/>
          <w:szCs w:val="22"/>
          <w:lang w:val="en-US" w:eastAsia="en-US"/>
        </w:rPr>
      </w:pPr>
    </w:p>
    <w:p>
      <w:pPr>
        <w:pStyle w:val="Normal_66aeea3a-c70d-4cf8-9bad-5448b75b89f3"/>
        <w:widowControl w:val="false"/>
        <w:autoSpaceDE w:val="false"/>
        <w:autoSpaceDN w:val="false"/>
        <w:spacing w:before="0" w:after="0" w:line="280" w:lineRule="exact"/>
        <w:outlineLvl w:val="1"/>
        <w:rPr>
          <w:rFonts w:ascii="Arial" w:hAnsi="Arial" w:eastAsia="Arial" w:cs="Arial"/>
          <w:b/>
          <w:bCs/>
          <w:sz w:val="22"/>
          <w:szCs w:val="22"/>
          <w:lang w:val="en-US" w:eastAsia="en-US"/>
        </w:rPr>
      </w:pPr>
      <w:r>
        <w:rPr>
          <w:noProof/>
        </w:rPr>
        <w:drawing>
          <wp:anchor distT="0" distB="0" distL="114300" distR="114300" simplePos="0" relativeHeight="251660288" behindDoc="1" locked="0" layoutInCell="1" allowOverlap="1">
            <wp:simplePos x="0" y="0"/>
            <wp:positionH relativeFrom="margin">
              <wp:posOffset>-257175</wp:posOffset>
            </wp:positionH>
            <wp:positionV relativeFrom="page">
              <wp:posOffset>269875</wp:posOffset>
            </wp:positionV>
            <wp:extent cx="7315199" cy="1773936"/>
            <wp:effectExtent xmlns:wp="http://schemas.openxmlformats.org/drawingml/2006/wordprocessingDrawing" l="0" t="0" r="0" b="0"/>
            <wp:wrapNone/>
            <wp:docPr id="289" name="Picture 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1"/>
                    <a:srcRect/>
                    <a:stretch>
                      <a:fillRect/>
                    </a:stretch>
                  </pic:blipFill>
                  <pic:spPr bwMode="auto">
                    <a:xfrm>
                      <a:off x="0" y="0"/>
                      <a:ext cx="7315199" cy="1773936"/>
                    </a:xfrm>
                    <a:prstGeom prst="rect">
                      <a:avLst/>
                    </a:prstGeom>
                  </pic:spPr>
                </pic:pic>
              </a:graphicData>
            </a:graphic>
          </wp:anchor>
        </w:drawing>
      </w:r>
      <w:r>
        <w:rPr>
          <w:rFonts w:ascii="Arial" w:hAnsi="Arial" w:eastAsia="Arial" w:cs="Arial"/>
          <w:b/>
          <w:bCs/>
          <w:sz w:val="22"/>
          <w:szCs w:val="22"/>
          <w:lang w:eastAsia="en-US"/>
        </w:rPr>
        <w:t xml:space="preserve">English:</w:t>
      </w:r>
    </w:p>
    <w:p>
      <w:pPr>
        <w:pStyle w:val="Normal_66aeea3a-c70d-4cf8-9bad-5448b75b89f3"/>
        <w:widowControl w:val="false"/>
        <w:autoSpaceDE w:val="false"/>
        <w:autoSpaceDN w:val="false"/>
        <w:spacing w:before="0" w:line="280" w:lineRule="exact"/>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If you, or someone you’re helping, has questions about Health First Health Plans, you have the right to get help and information in your language at no cost. To talk to an interpreter, call 855-443-4735.</w:t>
      </w:r>
    </w:p>
    <w:p>
      <w:pPr>
        <w:pStyle w:val="Normal_66aeea3a-c70d-4cf8-9bad-5448b75b89f3"/>
        <w:widowControl w:val="false"/>
        <w:autoSpaceDE w:val="false"/>
        <w:autoSpaceDN w:val="false"/>
        <w:spacing w:before="0" w:after="0" w:line="280" w:lineRule="exact"/>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Spanish:</w:t>
      </w:r>
    </w:p>
    <w:p>
      <w:pPr>
        <w:pStyle w:val="Normal_66aeea3a-c70d-4cf8-9bad-5448b75b89f3"/>
        <w:widowControl w:val="false"/>
        <w:autoSpaceDE w:val="false"/>
        <w:autoSpaceDN w:val="false"/>
        <w:spacing w:before="0" w:line="280" w:lineRule="exact"/>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En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caso</w:t>
      </w:r>
      <w:r>
        <w:rPr>
          <w:rFonts w:ascii="Calibri" w:hAnsi="Calibri" w:eastAsia="Arial" w:cs="Calibri"/>
          <w:sz w:val="22"/>
          <w:szCs w:val="22"/>
          <w:lang w:eastAsia="en-US"/>
        </w:rPr>
        <w:t xml:space="preserve"> que </w:t>
      </w:r>
      <w:r>
        <w:rPr>
          <w:rFonts w:ascii="Calibri" w:hAnsi="Calibri" w:eastAsia="Arial" w:cs="Calibri"/>
          <w:sz w:val="22"/>
          <w:szCs w:val="22"/>
          <w:lang w:eastAsia="en-US"/>
        </w:rPr>
        <w:t xml:space="preserve">usted</w:t>
      </w:r>
      <w:r>
        <w:rPr>
          <w:rFonts w:ascii="Calibri" w:hAnsi="Calibri" w:eastAsia="Arial" w:cs="Calibri"/>
          <w:sz w:val="22"/>
          <w:szCs w:val="22"/>
          <w:lang w:eastAsia="en-US"/>
        </w:rPr>
        <w:t xml:space="preserve">, o </w:t>
      </w:r>
      <w:r>
        <w:rPr>
          <w:rFonts w:ascii="Calibri" w:hAnsi="Calibri" w:eastAsia="Arial" w:cs="Calibri"/>
          <w:sz w:val="22"/>
          <w:szCs w:val="22"/>
          <w:lang w:eastAsia="en-US"/>
        </w:rPr>
        <w:t xml:space="preserve">alguien</w:t>
      </w:r>
      <w:r>
        <w:rPr>
          <w:rFonts w:ascii="Calibri" w:hAnsi="Calibri" w:eastAsia="Arial" w:cs="Calibri"/>
          <w:sz w:val="22"/>
          <w:szCs w:val="22"/>
          <w:lang w:eastAsia="en-US"/>
        </w:rPr>
        <w:t xml:space="preserve"> a </w:t>
      </w:r>
      <w:r>
        <w:rPr>
          <w:rFonts w:ascii="Calibri" w:hAnsi="Calibri" w:eastAsia="Arial" w:cs="Calibri"/>
          <w:sz w:val="22"/>
          <w:szCs w:val="22"/>
          <w:lang w:eastAsia="en-US"/>
        </w:rPr>
        <w:t xml:space="preserve">quien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usted</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ayude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tenga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cualquier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duda</w:t>
      </w:r>
      <w:r>
        <w:rPr>
          <w:rFonts w:ascii="Calibri" w:hAnsi="Calibri" w:eastAsia="Arial" w:cs="Calibri"/>
          <w:sz w:val="22"/>
          <w:szCs w:val="22"/>
          <w:lang w:eastAsia="en-US"/>
        </w:rPr>
        <w:t xml:space="preserve"> o </w:t>
      </w:r>
      <w:r>
        <w:rPr>
          <w:rFonts w:ascii="Calibri" w:hAnsi="Calibri" w:eastAsia="Arial" w:cs="Calibri"/>
          <w:sz w:val="22"/>
          <w:szCs w:val="22"/>
          <w:lang w:eastAsia="en-US"/>
        </w:rPr>
        <w:t xml:space="preserve">pregunta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acerca</w:t>
      </w:r>
      <w:r>
        <w:rPr>
          <w:rFonts w:ascii="Calibri" w:hAnsi="Calibri" w:eastAsia="Arial" w:cs="Calibri"/>
          <w:sz w:val="22"/>
          <w:szCs w:val="22"/>
          <w:lang w:eastAsia="en-US"/>
        </w:rPr>
        <w:t xml:space="preserve"> de Health First Health Plans, </w:t>
      </w:r>
      <w:r>
        <w:rPr>
          <w:rFonts w:ascii="Calibri" w:hAnsi="Calibri" w:eastAsia="Arial" w:cs="Calibri"/>
          <w:sz w:val="22"/>
          <w:szCs w:val="22"/>
          <w:lang w:eastAsia="en-US"/>
        </w:rPr>
        <w:t xml:space="preserve">usted</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tiene</w:t>
      </w:r>
      <w:r>
        <w:rPr>
          <w:rFonts w:ascii="Calibri" w:hAnsi="Calibri" w:eastAsia="Arial" w:cs="Calibri"/>
          <w:sz w:val="22"/>
          <w:szCs w:val="22"/>
          <w:lang w:eastAsia="en-US"/>
        </w:rPr>
        <w:t xml:space="preserve"> derecho a </w:t>
      </w:r>
      <w:r>
        <w:rPr>
          <w:rFonts w:ascii="Calibri" w:hAnsi="Calibri" w:eastAsia="Arial" w:cs="Calibri"/>
          <w:sz w:val="22"/>
          <w:szCs w:val="22"/>
          <w:lang w:eastAsia="en-US"/>
        </w:rPr>
        <w:t xml:space="preserve">obtener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ayuda</w:t>
      </w:r>
      <w:r>
        <w:rPr>
          <w:rFonts w:ascii="Calibri" w:hAnsi="Calibri" w:eastAsia="Arial" w:cs="Calibri"/>
          <w:sz w:val="22"/>
          <w:szCs w:val="22"/>
          <w:lang w:eastAsia="en-US"/>
        </w:rPr>
        <w:t xml:space="preserve"> e </w:t>
      </w:r>
      <w:r>
        <w:rPr>
          <w:rFonts w:ascii="Calibri" w:hAnsi="Calibri" w:eastAsia="Arial" w:cs="Calibri"/>
          <w:sz w:val="22"/>
          <w:szCs w:val="22"/>
          <w:lang w:eastAsia="en-US"/>
        </w:rPr>
        <w:t xml:space="preserve">información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en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idioma</w:t>
      </w:r>
      <w:r>
        <w:rPr>
          <w:rFonts w:ascii="Calibri" w:hAnsi="Calibri" w:eastAsia="Arial" w:cs="Calibri"/>
          <w:sz w:val="22"/>
          <w:szCs w:val="22"/>
          <w:lang w:eastAsia="en-US"/>
        </w:rPr>
        <w:t xml:space="preserve"> sin </w:t>
      </w:r>
      <w:r>
        <w:rPr>
          <w:rFonts w:ascii="Calibri" w:hAnsi="Calibri" w:eastAsia="Arial" w:cs="Calibri"/>
          <w:sz w:val="22"/>
          <w:szCs w:val="22"/>
          <w:lang w:eastAsia="en-US"/>
        </w:rPr>
        <w:t xml:space="preserve">costo</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alguno</w:t>
      </w:r>
      <w:r>
        <w:rPr>
          <w:rFonts w:ascii="Calibri" w:hAnsi="Calibri" w:eastAsia="Arial" w:cs="Calibri"/>
          <w:sz w:val="22"/>
          <w:szCs w:val="22"/>
          <w:lang w:eastAsia="en-US"/>
        </w:rPr>
        <w:t xml:space="preserve">. Para </w:t>
      </w:r>
      <w:r>
        <w:rPr>
          <w:rFonts w:ascii="Calibri" w:hAnsi="Calibri" w:eastAsia="Arial" w:cs="Calibri"/>
          <w:sz w:val="22"/>
          <w:szCs w:val="22"/>
          <w:lang w:eastAsia="en-US"/>
        </w:rPr>
        <w:t xml:space="preserve">hablar</w:t>
      </w:r>
      <w:r>
        <w:rPr>
          <w:rFonts w:ascii="Calibri" w:hAnsi="Calibri" w:eastAsia="Arial" w:cs="Calibri"/>
          <w:sz w:val="22"/>
          <w:szCs w:val="22"/>
          <w:lang w:eastAsia="en-US"/>
        </w:rPr>
        <w:t xml:space="preserve"> con un </w:t>
      </w:r>
      <w:r>
        <w:rPr>
          <w:rFonts w:ascii="Calibri" w:hAnsi="Calibri" w:eastAsia="Arial" w:cs="Calibri"/>
          <w:sz w:val="22"/>
          <w:szCs w:val="22"/>
          <w:lang w:eastAsia="en-US"/>
        </w:rPr>
        <w:t xml:space="preserve">intérprete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llame</w:t>
      </w:r>
      <w:r>
        <w:rPr>
          <w:rFonts w:ascii="Calibri" w:hAnsi="Calibri" w:eastAsia="Arial" w:cs="Calibri"/>
          <w:sz w:val="22"/>
          <w:szCs w:val="22"/>
          <w:lang w:eastAsia="en-US"/>
        </w:rPr>
        <w:t xml:space="preserve"> al 855-443-4735.</w:t>
      </w:r>
    </w:p>
    <w:p>
      <w:pPr>
        <w:pStyle w:val="Normal_66aeea3a-c70d-4cf8-9bad-5448b75b89f3"/>
        <w:widowControl w:val="false"/>
        <w:autoSpaceDE w:val="false"/>
        <w:autoSpaceDN w:val="false"/>
        <w:spacing w:before="0" w:after="0" w:line="280" w:lineRule="exact"/>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Haitian Creole:</w:t>
      </w:r>
    </w:p>
    <w:p>
      <w:pPr>
        <w:pStyle w:val="Normal_66aeea3a-c70d-4cf8-9bad-5448b75b89f3"/>
        <w:widowControl w:val="false"/>
        <w:autoSpaceDE w:val="false"/>
        <w:autoSpaceDN w:val="false"/>
        <w:spacing w:before="0" w:line="280" w:lineRule="exact"/>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Si </w:t>
      </w:r>
      <w:r>
        <w:rPr>
          <w:rFonts w:ascii="Calibri" w:hAnsi="Calibri" w:eastAsia="Arial" w:cs="Calibri"/>
          <w:sz w:val="22"/>
          <w:szCs w:val="22"/>
          <w:lang w:eastAsia="en-US"/>
        </w:rPr>
        <w:t xml:space="preserve">oumenm</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oswa</w:t>
      </w:r>
      <w:r>
        <w:rPr>
          <w:rFonts w:ascii="Calibri" w:hAnsi="Calibri" w:eastAsia="Arial" w:cs="Calibri"/>
          <w:sz w:val="22"/>
          <w:szCs w:val="22"/>
          <w:lang w:eastAsia="en-US"/>
        </w:rPr>
        <w:t xml:space="preserve"> yon </w:t>
      </w:r>
      <w:r>
        <w:rPr>
          <w:rFonts w:ascii="Calibri" w:hAnsi="Calibri" w:eastAsia="Arial" w:cs="Calibri"/>
          <w:sz w:val="22"/>
          <w:szCs w:val="22"/>
          <w:lang w:eastAsia="en-US"/>
        </w:rPr>
        <w:t xml:space="preserve">moun</w:t>
      </w:r>
      <w:r>
        <w:rPr>
          <w:rFonts w:ascii="Calibri" w:hAnsi="Calibri" w:eastAsia="Arial" w:cs="Calibri"/>
          <w:sz w:val="22"/>
          <w:szCs w:val="22"/>
          <w:lang w:eastAsia="en-US"/>
        </w:rPr>
        <w:t xml:space="preserve"> w ap </w:t>
      </w:r>
      <w:r>
        <w:rPr>
          <w:rFonts w:ascii="Calibri" w:hAnsi="Calibri" w:eastAsia="Arial" w:cs="Calibri"/>
          <w:sz w:val="22"/>
          <w:szCs w:val="22"/>
          <w:lang w:eastAsia="en-US"/>
        </w:rPr>
        <w:t xml:space="preserve">ede</w:t>
      </w:r>
      <w:r>
        <w:rPr>
          <w:rFonts w:ascii="Calibri" w:hAnsi="Calibri" w:eastAsia="Arial" w:cs="Calibri"/>
          <w:sz w:val="22"/>
          <w:szCs w:val="22"/>
          <w:lang w:eastAsia="en-US"/>
        </w:rPr>
        <w:t xml:space="preserve"> gen </w:t>
      </w:r>
      <w:r>
        <w:rPr>
          <w:rFonts w:ascii="Calibri" w:hAnsi="Calibri" w:eastAsia="Arial" w:cs="Calibri"/>
          <w:sz w:val="22"/>
          <w:szCs w:val="22"/>
          <w:lang w:eastAsia="en-US"/>
        </w:rPr>
        <w:t xml:space="preserve">kesyon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konsènan</w:t>
      </w:r>
      <w:r>
        <w:rPr>
          <w:rFonts w:ascii="Calibri" w:hAnsi="Calibri" w:eastAsia="Arial" w:cs="Calibri"/>
          <w:sz w:val="22"/>
          <w:szCs w:val="22"/>
          <w:lang w:eastAsia="en-US"/>
        </w:rPr>
        <w:t xml:space="preserve"> Health First Health Plans, se </w:t>
      </w:r>
      <w:r>
        <w:rPr>
          <w:rFonts w:ascii="Calibri" w:hAnsi="Calibri" w:eastAsia="Arial" w:cs="Calibri"/>
          <w:sz w:val="22"/>
          <w:szCs w:val="22"/>
          <w:lang w:eastAsia="en-US"/>
        </w:rPr>
        <w:t xml:space="preserve">dwa</w:t>
      </w:r>
      <w:r>
        <w:rPr>
          <w:rFonts w:ascii="Calibri" w:hAnsi="Calibri" w:eastAsia="Arial" w:cs="Calibri"/>
          <w:sz w:val="22"/>
          <w:szCs w:val="22"/>
          <w:lang w:eastAsia="en-US"/>
        </w:rPr>
        <w:t xml:space="preserve"> w </w:t>
      </w:r>
      <w:r>
        <w:rPr>
          <w:rFonts w:ascii="Calibri" w:hAnsi="Calibri" w:eastAsia="Arial" w:cs="Calibri"/>
          <w:sz w:val="22"/>
          <w:szCs w:val="22"/>
          <w:lang w:eastAsia="en-US"/>
        </w:rPr>
        <w:t xml:space="preserve">pou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resevwa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asistans</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ak</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enfòmasyon</w:t>
      </w:r>
      <w:r>
        <w:rPr>
          <w:rFonts w:ascii="Calibri" w:hAnsi="Calibri" w:eastAsia="Arial" w:cs="Calibri"/>
          <w:sz w:val="22"/>
          <w:szCs w:val="22"/>
          <w:lang w:eastAsia="en-US"/>
        </w:rPr>
        <w:t xml:space="preserve"> nan </w:t>
      </w:r>
      <w:r>
        <w:rPr>
          <w:rFonts w:ascii="Calibri" w:hAnsi="Calibri" w:eastAsia="Arial" w:cs="Calibri"/>
          <w:sz w:val="22"/>
          <w:szCs w:val="22"/>
          <w:lang w:eastAsia="en-US"/>
        </w:rPr>
        <w:t xml:space="preserve">lang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ou</w:t>
      </w:r>
      <w:r>
        <w:rPr>
          <w:rFonts w:ascii="Calibri" w:hAnsi="Calibri" w:eastAsia="Arial" w:cs="Calibri"/>
          <w:sz w:val="22"/>
          <w:szCs w:val="22"/>
          <w:lang w:eastAsia="en-US"/>
        </w:rPr>
        <w:t xml:space="preserve"> pale a, san </w:t>
      </w:r>
      <w:r>
        <w:rPr>
          <w:rFonts w:ascii="Calibri" w:hAnsi="Calibri" w:eastAsia="Arial" w:cs="Calibri"/>
          <w:sz w:val="22"/>
          <w:szCs w:val="22"/>
          <w:lang w:eastAsia="en-US"/>
        </w:rPr>
        <w:t xml:space="preserve">ou</w:t>
      </w:r>
      <w:r>
        <w:rPr>
          <w:rFonts w:ascii="Calibri" w:hAnsi="Calibri" w:eastAsia="Arial" w:cs="Calibri"/>
          <w:sz w:val="22"/>
          <w:szCs w:val="22"/>
          <w:lang w:eastAsia="en-US"/>
        </w:rPr>
        <w:t xml:space="preserve"> pa gen </w:t>
      </w:r>
      <w:r>
        <w:rPr>
          <w:rFonts w:ascii="Calibri" w:hAnsi="Calibri" w:eastAsia="Arial" w:cs="Calibri"/>
          <w:sz w:val="22"/>
          <w:szCs w:val="22"/>
          <w:lang w:eastAsia="en-US"/>
        </w:rPr>
        <w:t xml:space="preserve">pou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peye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pou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Pou</w:t>
      </w:r>
      <w:r>
        <w:rPr>
          <w:rFonts w:ascii="Calibri" w:hAnsi="Calibri" w:eastAsia="Arial" w:cs="Calibri"/>
          <w:sz w:val="22"/>
          <w:szCs w:val="22"/>
          <w:lang w:eastAsia="en-US"/>
        </w:rPr>
        <w:t xml:space="preserve"> pale </w:t>
      </w:r>
      <w:r>
        <w:rPr>
          <w:rFonts w:ascii="Calibri" w:hAnsi="Calibri" w:eastAsia="Arial" w:cs="Calibri"/>
          <w:sz w:val="22"/>
          <w:szCs w:val="22"/>
          <w:lang w:eastAsia="en-US"/>
        </w:rPr>
        <w:t xml:space="preserve">avèk</w:t>
      </w:r>
      <w:r>
        <w:rPr>
          <w:rFonts w:ascii="Calibri" w:hAnsi="Calibri" w:eastAsia="Arial" w:cs="Calibri"/>
          <w:sz w:val="22"/>
          <w:szCs w:val="22"/>
          <w:lang w:eastAsia="en-US"/>
        </w:rPr>
        <w:t xml:space="preserve"> yon </w:t>
      </w:r>
      <w:r>
        <w:rPr>
          <w:rFonts w:ascii="Calibri" w:hAnsi="Calibri" w:eastAsia="Arial" w:cs="Calibri"/>
          <w:sz w:val="22"/>
          <w:szCs w:val="22"/>
          <w:lang w:eastAsia="en-US"/>
        </w:rPr>
        <w:t xml:space="preserve">entèprèt</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rele</w:t>
      </w:r>
      <w:r>
        <w:rPr>
          <w:rFonts w:ascii="Calibri" w:hAnsi="Calibri" w:eastAsia="Arial" w:cs="Calibri"/>
          <w:sz w:val="22"/>
          <w:szCs w:val="22"/>
          <w:lang w:eastAsia="en-US"/>
        </w:rPr>
        <w:t xml:space="preserve"> nan 855-443-4735.</w:t>
      </w:r>
    </w:p>
    <w:p>
      <w:pPr>
        <w:pStyle w:val="Normal_66aeea3a-c70d-4cf8-9bad-5448b75b89f3"/>
        <w:widowControl w:val="false"/>
        <w:autoSpaceDE w:val="false"/>
        <w:autoSpaceDN w:val="false"/>
        <w:spacing w:before="0" w:after="0" w:line="280" w:lineRule="exact"/>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Vietnamese:</w:t>
      </w:r>
    </w:p>
    <w:p>
      <w:pPr>
        <w:pStyle w:val="Normal_66aeea3a-c70d-4cf8-9bad-5448b75b89f3"/>
        <w:widowControl w:val="false"/>
        <w:autoSpaceDE w:val="false"/>
        <w:autoSpaceDN w:val="false"/>
        <w:spacing w:before="0" w:line="280" w:lineRule="exact"/>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Nếu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Quý</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vị</w:t>
      </w:r>
      <w:r>
        <w:rPr>
          <w:rFonts w:ascii="Calibri" w:hAnsi="Calibri" w:eastAsia="Arial" w:cs="Calibri"/>
          <w:sz w:val="22"/>
          <w:szCs w:val="22"/>
          <w:lang w:eastAsia="en-US"/>
        </w:rPr>
        <w:t xml:space="preserve">, hay </w:t>
      </w:r>
      <w:r>
        <w:rPr>
          <w:rFonts w:ascii="Calibri" w:hAnsi="Calibri" w:eastAsia="Arial" w:cs="Calibri"/>
          <w:sz w:val="22"/>
          <w:szCs w:val="22"/>
          <w:lang w:eastAsia="en-US"/>
        </w:rPr>
        <w:t xml:space="preserve">người</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mà</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Quý</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vị</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đang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giúp</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đỡ</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có</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câu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hỏi</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về</w:t>
      </w:r>
      <w:r>
        <w:rPr>
          <w:rFonts w:ascii="Calibri" w:hAnsi="Calibri" w:eastAsia="Arial" w:cs="Calibri"/>
          <w:sz w:val="22"/>
          <w:szCs w:val="22"/>
          <w:lang w:eastAsia="en-US"/>
        </w:rPr>
        <w:t xml:space="preserve"> Health First Health Plans </w:t>
      </w:r>
      <w:r>
        <w:rPr>
          <w:rFonts w:ascii="Calibri" w:hAnsi="Calibri" w:eastAsia="Arial" w:cs="Calibri"/>
          <w:sz w:val="22"/>
          <w:szCs w:val="22"/>
          <w:lang w:eastAsia="en-US"/>
        </w:rPr>
        <w:t xml:space="preserve">thì</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Quý</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vị</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có</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quyền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được</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trợ</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giúp</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và</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được</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biết</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thêm</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thông</w:t>
      </w:r>
      <w:r>
        <w:rPr>
          <w:rFonts w:ascii="Calibri" w:hAnsi="Calibri" w:eastAsia="Arial" w:cs="Calibri"/>
          <w:sz w:val="22"/>
          <w:szCs w:val="22"/>
          <w:lang w:eastAsia="en-US"/>
        </w:rPr>
        <w:t xml:space="preserve"> tin </w:t>
      </w:r>
      <w:r>
        <w:rPr>
          <w:rFonts w:ascii="Calibri" w:hAnsi="Calibri" w:eastAsia="Arial" w:cs="Calibri"/>
          <w:sz w:val="22"/>
          <w:szCs w:val="22"/>
          <w:lang w:eastAsia="en-US"/>
        </w:rPr>
        <w:t xml:space="preserve">bằng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ngôn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ngữ</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của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mình</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miễn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phí</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Để</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nói</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chuyện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với</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thông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dịch</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viên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xin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gọi</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số</w:t>
      </w:r>
      <w:r>
        <w:rPr>
          <w:rFonts w:ascii="Calibri" w:hAnsi="Calibri" w:eastAsia="Arial" w:cs="Calibri"/>
          <w:sz w:val="22"/>
          <w:szCs w:val="22"/>
          <w:lang w:eastAsia="en-US"/>
        </w:rPr>
        <w:t xml:space="preserve"> 855-443-4735.</w:t>
      </w:r>
    </w:p>
    <w:p>
      <w:pPr>
        <w:pStyle w:val="Normal_66aeea3a-c70d-4cf8-9bad-5448b75b89f3"/>
        <w:widowControl w:val="false"/>
        <w:autoSpaceDE w:val="false"/>
        <w:autoSpaceDN w:val="false"/>
        <w:spacing w:before="0" w:after="0" w:line="280" w:lineRule="exact"/>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Portuguese:</w:t>
      </w:r>
    </w:p>
    <w:p>
      <w:pPr>
        <w:pStyle w:val="Normal_66aeea3a-c70d-4cf8-9bad-5448b75b89f3"/>
        <w:widowControl w:val="false"/>
        <w:autoSpaceDE w:val="false"/>
        <w:autoSpaceDN w:val="false"/>
        <w:spacing w:before="0" w:line="280" w:lineRule="exact"/>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Você</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ou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alguém</w:t>
      </w:r>
      <w:r>
        <w:rPr>
          <w:rFonts w:ascii="Calibri" w:hAnsi="Calibri" w:eastAsia="Arial" w:cs="Calibri"/>
          <w:sz w:val="22"/>
          <w:szCs w:val="22"/>
          <w:lang w:eastAsia="en-US"/>
        </w:rPr>
        <w:t xml:space="preserve"> que </w:t>
      </w:r>
      <w:r>
        <w:rPr>
          <w:rFonts w:ascii="Calibri" w:hAnsi="Calibri" w:eastAsia="Arial" w:cs="Calibri"/>
          <w:sz w:val="22"/>
          <w:szCs w:val="22"/>
          <w:lang w:eastAsia="en-US"/>
        </w:rPr>
        <w:t xml:space="preserve">você</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estiver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ajudando</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tem</w:t>
      </w:r>
      <w:r>
        <w:rPr>
          <w:rFonts w:ascii="Calibri" w:hAnsi="Calibri" w:eastAsia="Arial" w:cs="Calibri"/>
          <w:sz w:val="22"/>
          <w:szCs w:val="22"/>
          <w:lang w:eastAsia="en-US"/>
        </w:rPr>
        <w:t xml:space="preserve"> o </w:t>
      </w:r>
      <w:r>
        <w:rPr>
          <w:rFonts w:ascii="Calibri" w:hAnsi="Calibri" w:eastAsia="Arial" w:cs="Calibri"/>
          <w:sz w:val="22"/>
          <w:szCs w:val="22"/>
          <w:lang w:eastAsia="en-US"/>
        </w:rPr>
        <w:t xml:space="preserve">direito</w:t>
      </w:r>
      <w:r>
        <w:rPr>
          <w:rFonts w:ascii="Calibri" w:hAnsi="Calibri" w:eastAsia="Arial" w:cs="Calibri"/>
          <w:sz w:val="22"/>
          <w:szCs w:val="22"/>
          <w:lang w:eastAsia="en-US"/>
        </w:rPr>
        <w:t xml:space="preserve"> de </w:t>
      </w:r>
      <w:r>
        <w:rPr>
          <w:rFonts w:ascii="Calibri" w:hAnsi="Calibri" w:eastAsia="Arial" w:cs="Calibri"/>
          <w:sz w:val="22"/>
          <w:szCs w:val="22"/>
          <w:lang w:eastAsia="en-US"/>
        </w:rPr>
        <w:t xml:space="preserve">tirar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dúvidas</w:t>
      </w:r>
      <w:r>
        <w:rPr>
          <w:rFonts w:ascii="Calibri" w:hAnsi="Calibri" w:eastAsia="Arial" w:cs="Calibri"/>
          <w:sz w:val="22"/>
          <w:szCs w:val="22"/>
          <w:lang w:eastAsia="en-US"/>
        </w:rPr>
        <w:t xml:space="preserve"> e </w:t>
      </w:r>
      <w:r>
        <w:rPr>
          <w:rFonts w:ascii="Calibri" w:hAnsi="Calibri" w:eastAsia="Arial" w:cs="Calibri"/>
          <w:sz w:val="22"/>
          <w:szCs w:val="22"/>
          <w:lang w:eastAsia="en-US"/>
        </w:rPr>
        <w:t xml:space="preserve">obter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informações</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sobre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os</w:t>
      </w:r>
      <w:r>
        <w:rPr>
          <w:rFonts w:ascii="Calibri" w:hAnsi="Calibri" w:eastAsia="Arial" w:cs="Calibri"/>
          <w:sz w:val="22"/>
          <w:szCs w:val="22"/>
          <w:lang w:eastAsia="en-US"/>
        </w:rPr>
        <w:t xml:space="preserve"> Health First Health Plans no </w:t>
      </w:r>
      <w:r>
        <w:rPr>
          <w:rFonts w:ascii="Calibri" w:hAnsi="Calibri" w:eastAsia="Arial" w:cs="Calibri"/>
          <w:sz w:val="22"/>
          <w:szCs w:val="22"/>
          <w:lang w:eastAsia="en-US"/>
        </w:rPr>
        <w:t xml:space="preserve">seu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idioma</w:t>
      </w:r>
      <w:r>
        <w:rPr>
          <w:rFonts w:ascii="Calibri" w:hAnsi="Calibri" w:eastAsia="Arial" w:cs="Calibri"/>
          <w:sz w:val="22"/>
          <w:szCs w:val="22"/>
          <w:lang w:eastAsia="en-US"/>
        </w:rPr>
        <w:t xml:space="preserve"> e </w:t>
      </w:r>
      <w:r>
        <w:rPr>
          <w:rFonts w:ascii="Calibri" w:hAnsi="Calibri" w:eastAsia="Arial" w:cs="Calibri"/>
          <w:sz w:val="22"/>
          <w:szCs w:val="22"/>
          <w:lang w:eastAsia="en-US"/>
        </w:rPr>
        <w:t xml:space="preserve">sem</w:t>
      </w:r>
      <w:r>
        <w:rPr>
          <w:rFonts w:ascii="Calibri" w:hAnsi="Calibri" w:eastAsia="Arial" w:cs="Calibri"/>
          <w:sz w:val="22"/>
          <w:szCs w:val="22"/>
          <w:lang w:eastAsia="en-US"/>
        </w:rPr>
        <w:t xml:space="preserve"> custos. Para </w:t>
      </w:r>
      <w:r>
        <w:rPr>
          <w:rFonts w:ascii="Calibri" w:hAnsi="Calibri" w:eastAsia="Arial" w:cs="Calibri"/>
          <w:sz w:val="22"/>
          <w:szCs w:val="22"/>
          <w:lang w:eastAsia="en-US"/>
        </w:rPr>
        <w:t xml:space="preserve">falar</w:t>
      </w:r>
      <w:r>
        <w:rPr>
          <w:rFonts w:ascii="Calibri" w:hAnsi="Calibri" w:eastAsia="Arial" w:cs="Calibri"/>
          <w:sz w:val="22"/>
          <w:szCs w:val="22"/>
          <w:lang w:eastAsia="en-US"/>
        </w:rPr>
        <w:t xml:space="preserve"> com um </w:t>
      </w:r>
      <w:r>
        <w:rPr>
          <w:rFonts w:ascii="Calibri" w:hAnsi="Calibri" w:eastAsia="Arial" w:cs="Calibri"/>
          <w:sz w:val="22"/>
          <w:szCs w:val="22"/>
          <w:lang w:eastAsia="en-US"/>
        </w:rPr>
        <w:t xml:space="preserve">tradutor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ligue</w:t>
      </w:r>
      <w:r>
        <w:rPr>
          <w:rFonts w:ascii="Calibri" w:hAnsi="Calibri" w:eastAsia="Arial" w:cs="Calibri"/>
          <w:sz w:val="22"/>
          <w:szCs w:val="22"/>
          <w:lang w:eastAsia="en-US"/>
        </w:rPr>
        <w:t xml:space="preserve"> para 855-443-4735.</w:t>
      </w:r>
    </w:p>
    <w:p>
      <w:pPr>
        <w:pStyle w:val="Normal_66aeea3a-c70d-4cf8-9bad-5448b75b89f3"/>
        <w:widowControl w:val="false"/>
        <w:autoSpaceDE w:val="false"/>
        <w:autoSpaceDN w:val="false"/>
        <w:spacing w:before="0" w:after="0" w:line="280" w:lineRule="exact"/>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Chinese:</w:t>
      </w:r>
    </w:p>
    <w:p>
      <w:pPr>
        <w:pStyle w:val="Normal_66aeea3a-c70d-4cf8-9bad-5448b75b89f3"/>
        <w:widowControl w:val="false"/>
        <w:autoSpaceDE w:val="false"/>
        <w:autoSpaceDN w:val="false"/>
        <w:spacing w:before="0" w:line="280" w:lineRule="exact"/>
        <w:ind w:right="540"/>
        <w:rPr>
          <w:rFonts w:ascii="PMingLiU" w:hAnsi="PMingLiU" w:eastAsia="PMingLiU" w:cs="Arial"/>
          <w:kern xmlns:w="http://schemas.openxmlformats.org/wordprocessingml/2006/main" w:val="22"/>
          <w:sz w:val="22"/>
          <w:szCs w:val="22"/>
          <w:lang w:val="en-US" w:eastAsia="en-US"/>
        </w:rPr>
      </w:pPr>
      <w:r>
        <w:rPr>
          <w:rFonts w:ascii="PMingLiU" w:hAnsi="PMingLiU" w:eastAsia="PMingLiU" w:cs="Arial" w:hint="eastAsia"/>
          <w:kern xmlns:w="http://schemas.openxmlformats.org/wordprocessingml/2006/main" w:val="22"/>
          <w:sz w:val="22"/>
          <w:szCs w:val="22"/>
          <w:lang w:eastAsia="en-US"/>
        </w:rPr>
        <w:t xml:space="preserve">如果您，或是您正在協助的對象，有與</w:t>
      </w:r>
      <w:r>
        <w:rPr>
          <w:rFonts w:ascii="PMingLiU" w:hAnsi="PMingLiU" w:eastAsia="PMingLiU" w:cs="Arial" w:hint="eastAsia"/>
          <w:kern xmlns:w="http://schemas.openxmlformats.org/wordprocessingml/2006/main" w:val="22"/>
          <w:sz w:val="22"/>
          <w:szCs w:val="22"/>
          <w:lang w:eastAsia="en-US"/>
        </w:rPr>
        <w:t xml:space="preserve"> </w:t>
      </w:r>
      <w:r>
        <w:rPr>
          <w:rFonts w:ascii="Calibri" w:hAnsi="Calibri" w:eastAsia="PMingLiU" w:cs="Calibri"/>
          <w:kern xmlns:w="http://schemas.openxmlformats.org/wordprocessingml/2006/main" w:val="22"/>
          <w:sz w:val="22"/>
          <w:szCs w:val="22"/>
          <w:lang w:eastAsia="en-US"/>
        </w:rPr>
        <w:t xml:space="preserve">Health First Health Plans</w:t>
      </w:r>
      <w:r>
        <w:rPr>
          <w:rFonts w:ascii="PMingLiU" w:hAnsi="PMingLiU" w:eastAsia="PMingLiU" w:cs="Arial"/>
          <w:kern xmlns:w="http://schemas.openxmlformats.org/wordprocessingml/2006/main" w:val="22"/>
          <w:sz w:val="22"/>
          <w:szCs w:val="22"/>
          <w:lang w:eastAsia="en-US"/>
        </w:rPr>
        <w:t xml:space="preserve"> </w:t>
      </w:r>
      <w:r>
        <w:rPr>
          <w:rFonts w:ascii="PMingLiU" w:hAnsi="PMingLiU" w:eastAsia="PMingLiU" w:cs="Arial" w:hint="eastAsia"/>
          <w:kern xmlns:w="http://schemas.openxmlformats.org/wordprocessingml/2006/main" w:val="22"/>
          <w:sz w:val="22"/>
          <w:szCs w:val="22"/>
          <w:lang w:eastAsia="en-US"/>
        </w:rPr>
        <w:t xml:space="preserve">相關的問題，您有權以您的母語免費取得幫助和資訊。請致電</w:t>
      </w:r>
      <w:r>
        <w:rPr>
          <w:rFonts w:ascii="PMingLiU" w:hAnsi="PMingLiU" w:eastAsia="PMingLiU" w:cs="Arial" w:hint="eastAsia"/>
          <w:kern xmlns:w="http://schemas.openxmlformats.org/wordprocessingml/2006/main" w:val="22"/>
          <w:sz w:val="22"/>
          <w:szCs w:val="22"/>
          <w:lang w:eastAsia="en-US"/>
        </w:rPr>
        <w:t xml:space="preserve"> </w:t>
      </w:r>
      <w:r>
        <w:rPr>
          <w:rFonts w:ascii="Calibri" w:hAnsi="Calibri" w:eastAsia="PMingLiU" w:cs="Calibri"/>
          <w:kern xmlns:w="http://schemas.openxmlformats.org/wordprocessingml/2006/main" w:val="22"/>
          <w:sz w:val="22"/>
          <w:szCs w:val="22"/>
          <w:lang w:eastAsia="en-US"/>
        </w:rPr>
        <w:t xml:space="preserve">855-443-4735</w:t>
      </w:r>
      <w:r>
        <w:rPr>
          <w:rFonts w:ascii="PMingLiU" w:hAnsi="PMingLiU" w:eastAsia="PMingLiU" w:cs="Arial"/>
          <w:kern xmlns:w="http://schemas.openxmlformats.org/wordprocessingml/2006/main" w:val="22"/>
          <w:sz w:val="22"/>
          <w:szCs w:val="22"/>
          <w:lang w:eastAsia="en-US"/>
        </w:rPr>
        <w:t xml:space="preserve"> </w:t>
      </w:r>
      <w:r>
        <w:rPr>
          <w:rFonts w:ascii="PMingLiU" w:hAnsi="PMingLiU" w:eastAsia="PMingLiU" w:cs="Arial" w:hint="eastAsia"/>
          <w:kern xmlns:w="http://schemas.openxmlformats.org/wordprocessingml/2006/main" w:val="22"/>
          <w:sz w:val="22"/>
          <w:szCs w:val="22"/>
          <w:lang w:eastAsia="en-US"/>
        </w:rPr>
        <w:t xml:space="preserve">與翻譯員洽談</w:t>
      </w:r>
      <w:r>
        <w:rPr>
          <w:rFonts w:ascii="PMingLiU" w:hAnsi="PMingLiU" w:eastAsia="PMingLiU" w:cs="Arial" w:hint="eastAsia"/>
          <w:kern xmlns:w="http://schemas.openxmlformats.org/wordprocessingml/2006/main" w:val="22"/>
          <w:sz w:val="22"/>
          <w:szCs w:val="22"/>
          <w:lang w:eastAsia="en-US"/>
        </w:rPr>
        <w:t xml:space="preserve">。</w:t>
      </w:r>
    </w:p>
    <w:p>
      <w:pPr>
        <w:pStyle w:val="Normal_66aeea3a-c70d-4cf8-9bad-5448b75b89f3"/>
        <w:widowControl w:val="false"/>
        <w:autoSpaceDE w:val="false"/>
        <w:autoSpaceDN w:val="false"/>
        <w:spacing w:before="0" w:after="0" w:line="280" w:lineRule="exact"/>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French:</w:t>
      </w:r>
    </w:p>
    <w:p>
      <w:pPr>
        <w:pStyle w:val="Normal_66aeea3a-c70d-4cf8-9bad-5448b75b89f3"/>
        <w:widowControl w:val="false"/>
        <w:autoSpaceDE w:val="false"/>
        <w:autoSpaceDN w:val="false"/>
        <w:spacing w:before="0" w:line="280" w:lineRule="exact"/>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Si </w:t>
      </w:r>
      <w:r>
        <w:rPr>
          <w:rFonts w:ascii="Calibri" w:hAnsi="Calibri" w:eastAsia="Arial" w:cs="Calibri"/>
          <w:sz w:val="22"/>
          <w:szCs w:val="22"/>
          <w:lang w:eastAsia="en-US"/>
        </w:rPr>
        <w:t xml:space="preserve">vous</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ou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quelqu'un</w:t>
      </w:r>
      <w:r>
        <w:rPr>
          <w:rFonts w:ascii="Calibri" w:hAnsi="Calibri" w:eastAsia="Arial" w:cs="Calibri"/>
          <w:sz w:val="22"/>
          <w:szCs w:val="22"/>
          <w:lang w:eastAsia="en-US"/>
        </w:rPr>
        <w:t xml:space="preserve"> que </w:t>
      </w:r>
      <w:r>
        <w:rPr>
          <w:rFonts w:ascii="Calibri" w:hAnsi="Calibri" w:eastAsia="Arial" w:cs="Calibri"/>
          <w:sz w:val="22"/>
          <w:szCs w:val="22"/>
          <w:lang w:eastAsia="en-US"/>
        </w:rPr>
        <w:t xml:space="preserve">vous</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êtes</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en</w:t>
      </w:r>
      <w:r>
        <w:rPr>
          <w:rFonts w:ascii="Calibri" w:hAnsi="Calibri" w:eastAsia="Arial" w:cs="Calibri"/>
          <w:sz w:val="22"/>
          <w:szCs w:val="22"/>
          <w:lang w:eastAsia="en-US"/>
        </w:rPr>
        <w:t xml:space="preserve"> train </w:t>
      </w:r>
      <w:r>
        <w:rPr>
          <w:rFonts w:ascii="Calibri" w:hAnsi="Calibri" w:eastAsia="Arial" w:cs="Calibri"/>
          <w:sz w:val="22"/>
          <w:szCs w:val="22"/>
          <w:lang w:eastAsia="en-US"/>
        </w:rPr>
        <w:t xml:space="preserve">d’aider</w:t>
      </w:r>
      <w:r>
        <w:rPr>
          <w:rFonts w:ascii="Calibri" w:hAnsi="Calibri" w:eastAsia="Arial" w:cs="Calibri"/>
          <w:sz w:val="22"/>
          <w:szCs w:val="22"/>
          <w:lang w:eastAsia="en-US"/>
        </w:rPr>
        <w:t xml:space="preserve">, a des questions à </w:t>
      </w:r>
      <w:r>
        <w:rPr>
          <w:rFonts w:ascii="Calibri" w:hAnsi="Calibri" w:eastAsia="Arial" w:cs="Calibri"/>
          <w:sz w:val="22"/>
          <w:szCs w:val="22"/>
          <w:lang w:eastAsia="en-US"/>
        </w:rPr>
        <w:t xml:space="preserve">propos</w:t>
      </w:r>
      <w:r>
        <w:rPr>
          <w:rFonts w:ascii="Calibri" w:hAnsi="Calibri" w:eastAsia="Arial" w:cs="Calibri"/>
          <w:sz w:val="22"/>
          <w:szCs w:val="22"/>
          <w:lang w:eastAsia="en-US"/>
        </w:rPr>
        <w:t xml:space="preserve"> de Health First Health Plans, </w:t>
      </w:r>
      <w:r>
        <w:rPr>
          <w:rFonts w:ascii="Calibri" w:hAnsi="Calibri" w:eastAsia="Arial" w:cs="Calibri"/>
          <w:sz w:val="22"/>
          <w:szCs w:val="22"/>
          <w:lang w:eastAsia="en-US"/>
        </w:rPr>
        <w:t xml:space="preserve">vous</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avez</w:t>
      </w:r>
      <w:r>
        <w:rPr>
          <w:rFonts w:ascii="Calibri" w:hAnsi="Calibri" w:eastAsia="Arial" w:cs="Calibri"/>
          <w:sz w:val="22"/>
          <w:szCs w:val="22"/>
          <w:lang w:eastAsia="en-US"/>
        </w:rPr>
        <w:t xml:space="preserve"> le droit </w:t>
      </w:r>
      <w:r>
        <w:rPr>
          <w:rFonts w:ascii="Calibri" w:hAnsi="Calibri" w:eastAsia="Arial" w:cs="Calibri"/>
          <w:sz w:val="22"/>
          <w:szCs w:val="22"/>
          <w:lang w:eastAsia="en-US"/>
        </w:rPr>
        <w:t xml:space="preserve">d'obtenir</w:t>
      </w:r>
      <w:r>
        <w:rPr>
          <w:rFonts w:ascii="Calibri" w:hAnsi="Calibri" w:eastAsia="Arial" w:cs="Calibri"/>
          <w:sz w:val="22"/>
          <w:szCs w:val="22"/>
          <w:lang w:eastAsia="en-US"/>
        </w:rPr>
        <w:t xml:space="preserve"> de </w:t>
      </w:r>
      <w:r>
        <w:rPr>
          <w:rFonts w:ascii="Calibri" w:hAnsi="Calibri" w:eastAsia="Arial" w:cs="Calibri"/>
          <w:sz w:val="22"/>
          <w:szCs w:val="22"/>
          <w:lang w:eastAsia="en-US"/>
        </w:rPr>
        <w:t xml:space="preserve">l'aide</w:t>
      </w:r>
      <w:r>
        <w:rPr>
          <w:rFonts w:ascii="Calibri" w:hAnsi="Calibri" w:eastAsia="Arial" w:cs="Calibri"/>
          <w:sz w:val="22"/>
          <w:szCs w:val="22"/>
          <w:lang w:eastAsia="en-US"/>
        </w:rPr>
        <w:t xml:space="preserve"> et </w:t>
      </w:r>
      <w:r>
        <w:rPr>
          <w:rFonts w:ascii="Calibri" w:hAnsi="Calibri" w:eastAsia="Arial" w:cs="Calibri"/>
          <w:sz w:val="22"/>
          <w:szCs w:val="22"/>
          <w:lang w:eastAsia="en-US"/>
        </w:rPr>
        <w:t xml:space="preserve">l'information</w:t>
      </w:r>
      <w:r>
        <w:rPr>
          <w:rFonts w:ascii="Calibri" w:hAnsi="Calibri" w:eastAsia="Arial" w:cs="Calibri"/>
          <w:sz w:val="22"/>
          <w:szCs w:val="22"/>
          <w:lang w:eastAsia="en-US"/>
        </w:rPr>
        <w:t xml:space="preserve"> dans </w:t>
      </w:r>
      <w:r>
        <w:rPr>
          <w:rFonts w:ascii="Calibri" w:hAnsi="Calibri" w:eastAsia="Arial" w:cs="Calibri"/>
          <w:sz w:val="22"/>
          <w:szCs w:val="22"/>
          <w:lang w:eastAsia="en-US"/>
        </w:rPr>
        <w:t xml:space="preserve">votre</w:t>
      </w:r>
      <w:r>
        <w:rPr>
          <w:rFonts w:ascii="Calibri" w:hAnsi="Calibri" w:eastAsia="Arial" w:cs="Calibri"/>
          <w:sz w:val="22"/>
          <w:szCs w:val="22"/>
          <w:lang w:eastAsia="en-US"/>
        </w:rPr>
        <w:t xml:space="preserve"> langue à </w:t>
      </w:r>
      <w:r>
        <w:rPr>
          <w:rFonts w:ascii="Calibri" w:hAnsi="Calibri" w:eastAsia="Arial" w:cs="Calibri"/>
          <w:sz w:val="22"/>
          <w:szCs w:val="22"/>
          <w:lang w:eastAsia="en-US"/>
        </w:rPr>
        <w:t xml:space="preserve">aucun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coût</w:t>
      </w:r>
      <w:r>
        <w:rPr>
          <w:rFonts w:ascii="Calibri" w:hAnsi="Calibri" w:eastAsia="Arial" w:cs="Calibri"/>
          <w:sz w:val="22"/>
          <w:szCs w:val="22"/>
          <w:lang w:eastAsia="en-US"/>
        </w:rPr>
        <w:t xml:space="preserve">. Pour </w:t>
      </w:r>
      <w:r>
        <w:rPr>
          <w:rFonts w:ascii="Calibri" w:hAnsi="Calibri" w:eastAsia="Arial" w:cs="Calibri"/>
          <w:sz w:val="22"/>
          <w:szCs w:val="22"/>
          <w:lang w:eastAsia="en-US"/>
        </w:rPr>
        <w:t xml:space="preserve">parler</w:t>
      </w:r>
      <w:r>
        <w:rPr>
          <w:rFonts w:ascii="Calibri" w:hAnsi="Calibri" w:eastAsia="Arial" w:cs="Calibri"/>
          <w:sz w:val="22"/>
          <w:szCs w:val="22"/>
          <w:lang w:eastAsia="en-US"/>
        </w:rPr>
        <w:t xml:space="preserve"> à un </w:t>
      </w:r>
      <w:r>
        <w:rPr>
          <w:rFonts w:ascii="Calibri" w:hAnsi="Calibri" w:eastAsia="Arial" w:cs="Calibri"/>
          <w:sz w:val="22"/>
          <w:szCs w:val="22"/>
          <w:lang w:eastAsia="en-US"/>
        </w:rPr>
        <w:t xml:space="preserve">interprète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appelez</w:t>
      </w:r>
      <w:r>
        <w:rPr>
          <w:rFonts w:ascii="Calibri" w:hAnsi="Calibri" w:eastAsia="Arial" w:cs="Calibri"/>
          <w:sz w:val="22"/>
          <w:szCs w:val="22"/>
          <w:lang w:eastAsia="en-US"/>
        </w:rPr>
        <w:t xml:space="preserve"> 855-443-4735.</w:t>
      </w:r>
    </w:p>
    <w:p>
      <w:pPr>
        <w:pStyle w:val="Normal_66aeea3a-c70d-4cf8-9bad-5448b75b89f3"/>
        <w:widowControl w:val="false"/>
        <w:autoSpaceDE w:val="false"/>
        <w:autoSpaceDN w:val="false"/>
        <w:spacing w:before="0" w:after="0" w:line="280" w:lineRule="exact"/>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Tagalog:</w:t>
      </w:r>
    </w:p>
    <w:p>
      <w:pPr>
        <w:pStyle w:val="Normal_66aeea3a-c70d-4cf8-9bad-5448b75b89f3"/>
        <w:widowControl w:val="false"/>
        <w:autoSpaceDE w:val="false"/>
        <w:autoSpaceDN w:val="false"/>
        <w:spacing w:before="0" w:line="280" w:lineRule="exact"/>
        <w:ind w:right="540"/>
        <w:jc w:val="both"/>
        <w:rPr>
          <w:rFonts w:ascii="Calibri" w:hAnsi="Calibri" w:eastAsia="Arial" w:cs="Calibri"/>
          <w:sz w:val="22"/>
          <w:szCs w:val="22"/>
          <w:lang w:val="en-US" w:eastAsia="en-US"/>
        </w:rPr>
      </w:pPr>
      <w:r>
        <w:rPr>
          <w:rFonts w:ascii="Calibri" w:hAnsi="Calibri" w:eastAsia="Arial" w:cs="Calibri"/>
          <w:sz w:val="22"/>
          <w:szCs w:val="22"/>
          <w:lang w:eastAsia="en-US"/>
        </w:rPr>
        <w:t xml:space="preserve">Kung </w:t>
      </w:r>
      <w:r>
        <w:rPr>
          <w:rFonts w:ascii="Calibri" w:hAnsi="Calibri" w:eastAsia="Arial" w:cs="Calibri"/>
          <w:sz w:val="22"/>
          <w:szCs w:val="22"/>
          <w:lang w:eastAsia="en-US"/>
        </w:rPr>
        <w:t xml:space="preserve">ikaw</w:t>
      </w:r>
      <w:r>
        <w:rPr>
          <w:rFonts w:ascii="Calibri" w:hAnsi="Calibri" w:eastAsia="Arial" w:cs="Calibri"/>
          <w:sz w:val="22"/>
          <w:szCs w:val="22"/>
          <w:lang w:eastAsia="en-US"/>
        </w:rPr>
        <w:t xml:space="preserve">, o ang </w:t>
      </w:r>
      <w:r>
        <w:rPr>
          <w:rFonts w:ascii="Calibri" w:hAnsi="Calibri" w:eastAsia="Arial" w:cs="Calibri"/>
          <w:sz w:val="22"/>
          <w:szCs w:val="22"/>
          <w:lang w:eastAsia="en-US"/>
        </w:rPr>
        <w:t xml:space="preserve">iyong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tinutulangan</w:t>
      </w:r>
      <w:r>
        <w:rPr>
          <w:rFonts w:ascii="Calibri" w:hAnsi="Calibri" w:eastAsia="Arial" w:cs="Calibri"/>
          <w:sz w:val="22"/>
          <w:szCs w:val="22"/>
          <w:lang w:eastAsia="en-US"/>
        </w:rPr>
        <w:t xml:space="preserve">, ay may </w:t>
      </w:r>
      <w:r>
        <w:rPr>
          <w:rFonts w:ascii="Calibri" w:hAnsi="Calibri" w:eastAsia="Arial" w:cs="Calibri"/>
          <w:sz w:val="22"/>
          <w:szCs w:val="22"/>
          <w:lang w:eastAsia="en-US"/>
        </w:rPr>
        <w:t xml:space="preserve">mga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katanungan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tungkol</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sa</w:t>
      </w:r>
      <w:r>
        <w:rPr>
          <w:rFonts w:ascii="Calibri" w:hAnsi="Calibri" w:eastAsia="Arial" w:cs="Calibri"/>
          <w:sz w:val="22"/>
          <w:szCs w:val="22"/>
          <w:lang w:eastAsia="en-US"/>
        </w:rPr>
        <w:t xml:space="preserve"> Health First Health Plans, may </w:t>
      </w:r>
      <w:r>
        <w:rPr>
          <w:rFonts w:ascii="Calibri" w:hAnsi="Calibri" w:eastAsia="Arial" w:cs="Calibri"/>
          <w:sz w:val="22"/>
          <w:szCs w:val="22"/>
          <w:lang w:eastAsia="en-US"/>
        </w:rPr>
        <w:t xml:space="preserve">karapatan</w:t>
      </w:r>
      <w:r>
        <w:rPr>
          <w:rFonts w:ascii="Calibri" w:hAnsi="Calibri" w:eastAsia="Arial" w:cs="Calibri"/>
          <w:sz w:val="22"/>
          <w:szCs w:val="22"/>
          <w:lang w:eastAsia="en-US"/>
        </w:rPr>
        <w:t xml:space="preserve"> ka </w:t>
      </w:r>
      <w:r>
        <w:rPr>
          <w:rFonts w:ascii="Calibri" w:hAnsi="Calibri" w:eastAsia="Arial" w:cs="Calibri"/>
          <w:sz w:val="22"/>
          <w:szCs w:val="22"/>
          <w:lang w:eastAsia="en-US"/>
        </w:rPr>
        <w:t xml:space="preserve">na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humingi</w:t>
      </w:r>
      <w:r>
        <w:rPr>
          <w:rFonts w:ascii="Calibri" w:hAnsi="Calibri" w:eastAsia="Arial" w:cs="Calibri"/>
          <w:sz w:val="22"/>
          <w:szCs w:val="22"/>
          <w:lang w:eastAsia="en-US"/>
        </w:rPr>
        <w:t xml:space="preserve"> ng </w:t>
      </w:r>
      <w:r>
        <w:rPr>
          <w:rFonts w:ascii="Calibri" w:hAnsi="Calibri" w:eastAsia="Arial" w:cs="Calibri"/>
          <w:sz w:val="22"/>
          <w:szCs w:val="22"/>
          <w:lang w:eastAsia="en-US"/>
        </w:rPr>
        <w:t xml:space="preserve">tulong</w:t>
      </w:r>
      <w:r>
        <w:rPr>
          <w:rFonts w:ascii="Calibri" w:hAnsi="Calibri" w:eastAsia="Arial" w:cs="Calibri"/>
          <w:sz w:val="22"/>
          <w:szCs w:val="22"/>
          <w:lang w:eastAsia="en-US"/>
        </w:rPr>
        <w:t xml:space="preserve"> at </w:t>
      </w:r>
      <w:r>
        <w:rPr>
          <w:rFonts w:ascii="Calibri" w:hAnsi="Calibri" w:eastAsia="Arial" w:cs="Calibri"/>
          <w:sz w:val="22"/>
          <w:szCs w:val="22"/>
          <w:lang w:eastAsia="en-US"/>
        </w:rPr>
        <w:t xml:space="preserve">impormasyon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iyong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wika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nang</w:t>
      </w:r>
      <w:r>
        <w:rPr>
          <w:rFonts w:ascii="Calibri" w:hAnsi="Calibri" w:eastAsia="Arial" w:cs="Calibri"/>
          <w:sz w:val="22"/>
          <w:szCs w:val="22"/>
          <w:lang w:eastAsia="en-US"/>
        </w:rPr>
        <w:t xml:space="preserve"> libre. </w:t>
      </w:r>
      <w:r>
        <w:rPr>
          <w:rFonts w:ascii="Calibri" w:hAnsi="Calibri" w:eastAsia="Arial" w:cs="Calibri"/>
          <w:sz w:val="22"/>
          <w:szCs w:val="22"/>
          <w:lang w:eastAsia="en-US"/>
        </w:rPr>
        <w:t xml:space="preserve">Upang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makausap</w:t>
      </w:r>
      <w:r>
        <w:rPr>
          <w:rFonts w:ascii="Calibri" w:hAnsi="Calibri" w:eastAsia="Arial" w:cs="Calibri"/>
          <w:sz w:val="22"/>
          <w:szCs w:val="22"/>
          <w:lang w:eastAsia="en-US"/>
        </w:rPr>
        <w:t xml:space="preserve"> ang </w:t>
      </w:r>
      <w:r>
        <w:rPr>
          <w:rFonts w:ascii="Calibri" w:hAnsi="Calibri" w:eastAsia="Arial" w:cs="Calibri"/>
          <w:sz w:val="22"/>
          <w:szCs w:val="22"/>
          <w:lang w:eastAsia="en-US"/>
        </w:rPr>
        <w:t xml:space="preserve">isang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tagasalin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tumawag</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sa</w:t>
      </w:r>
      <w:r>
        <w:rPr>
          <w:rFonts w:ascii="Calibri" w:hAnsi="Calibri" w:eastAsia="Arial" w:cs="Calibri"/>
          <w:sz w:val="22"/>
          <w:szCs w:val="22"/>
          <w:lang w:eastAsia="en-US"/>
        </w:rPr>
        <w:t xml:space="preserve"> 855-443-4735.</w:t>
      </w:r>
    </w:p>
    <w:p>
      <w:pPr>
        <w:pStyle w:val="Normal_66aeea3a-c70d-4cf8-9bad-5448b75b89f3"/>
        <w:widowControl w:val="false"/>
        <w:autoSpaceDE w:val="false"/>
        <w:autoSpaceDN w:val="false"/>
        <w:spacing w:before="0" w:after="0" w:line="240" w:lineRule="auto"/>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Russian:</w:t>
      </w:r>
    </w:p>
    <w:p>
      <w:pPr>
        <w:pStyle w:val="Normal_66aeea3a-c70d-4cf8-9bad-5448b75b89f3"/>
        <w:widowControl w:val="false"/>
        <w:autoSpaceDE w:val="false"/>
        <w:autoSpaceDN w:val="false"/>
        <w:spacing w:before="0" w:after="0" w:line="240" w:lineRule="auto"/>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Если</w:t>
      </w:r>
      <w:r>
        <w:rPr>
          <w:rFonts w:ascii="Calibri" w:hAnsi="Calibri" w:eastAsia="Arial" w:cs="Calibri"/>
          <w:sz w:val="22"/>
          <w:szCs w:val="22"/>
          <w:lang w:eastAsia="en-US"/>
        </w:rPr>
        <w:t xml:space="preserve"> у </w:t>
      </w:r>
      <w:r>
        <w:rPr>
          <w:rFonts w:ascii="Calibri" w:hAnsi="Calibri" w:eastAsia="Arial" w:cs="Calibri"/>
          <w:sz w:val="22"/>
          <w:szCs w:val="22"/>
          <w:lang w:eastAsia="en-US"/>
        </w:rPr>
        <w:t xml:space="preserve">вас</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или</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лица</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которому</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вы</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помогаете</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имеются</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вопросы</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по</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поводу</w:t>
      </w:r>
      <w:r>
        <w:rPr>
          <w:rFonts w:ascii="Calibri" w:hAnsi="Calibri" w:eastAsia="Arial" w:cs="Calibri"/>
          <w:sz w:val="22"/>
          <w:szCs w:val="22"/>
          <w:lang w:eastAsia="en-US"/>
        </w:rPr>
        <w:t xml:space="preserve"> Health First Health Plans, </w:t>
      </w:r>
      <w:r>
        <w:rPr>
          <w:rFonts w:ascii="Calibri" w:hAnsi="Calibri" w:eastAsia="Arial" w:cs="Calibri"/>
          <w:sz w:val="22"/>
          <w:szCs w:val="22"/>
          <w:lang w:eastAsia="en-US"/>
        </w:rPr>
        <w:t xml:space="preserve">то</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вы</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имеете</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право</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на</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бесплатное</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получение</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помощи</w:t>
      </w:r>
      <w:r>
        <w:rPr>
          <w:rFonts w:ascii="Calibri" w:hAnsi="Calibri" w:eastAsia="Arial" w:cs="Calibri"/>
          <w:sz w:val="22"/>
          <w:szCs w:val="22"/>
          <w:lang w:eastAsia="en-US"/>
        </w:rPr>
        <w:t xml:space="preserve"> и </w:t>
      </w:r>
      <w:r>
        <w:rPr>
          <w:rFonts w:ascii="Calibri" w:hAnsi="Calibri" w:eastAsia="Arial" w:cs="Calibri"/>
          <w:sz w:val="22"/>
          <w:szCs w:val="22"/>
          <w:lang w:eastAsia="en-US"/>
        </w:rPr>
        <w:t xml:space="preserve">информации</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на</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вашем</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языке</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Для</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разговора</w:t>
      </w:r>
      <w:r>
        <w:rPr>
          <w:rFonts w:ascii="Calibri" w:hAnsi="Calibri" w:eastAsia="Arial" w:cs="Calibri"/>
          <w:sz w:val="22"/>
          <w:szCs w:val="22"/>
          <w:lang w:eastAsia="en-US"/>
        </w:rPr>
        <w:t xml:space="preserve"> с</w:t>
      </w:r>
    </w:p>
    <w:p>
      <w:pPr>
        <w:pStyle w:val="Normal_66aeea3a-c70d-4cf8-9bad-5448b75b89f3"/>
        <w:widowControl w:val="false"/>
        <w:autoSpaceDE w:val="false"/>
        <w:autoSpaceDN w:val="false"/>
        <w:spacing w:before="0" w:line="240" w:lineRule="auto"/>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переводчиком</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позвоните</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по</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телефону</w:t>
      </w:r>
      <w:r>
        <w:rPr>
          <w:rFonts w:ascii="Calibri" w:hAnsi="Calibri" w:eastAsia="Arial" w:cs="Calibri"/>
          <w:sz w:val="22"/>
          <w:szCs w:val="22"/>
          <w:lang w:eastAsia="en-US"/>
        </w:rPr>
        <w:t xml:space="preserve"> 855-443-4735.</w:t>
      </w:r>
    </w:p>
    <w:p>
      <w:pPr>
        <w:pStyle w:val="Normal_66aeea3a-c70d-4cf8-9bad-5448b75b89f3"/>
        <w:widowControl w:val="false"/>
        <w:autoSpaceDE w:val="false"/>
        <w:autoSpaceDN w:val="false"/>
        <w:spacing w:before="0" w:after="0" w:line="240" w:lineRule="auto"/>
        <w:ind w:right="360"/>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Arabic:</w:t>
      </w:r>
    </w:p>
    <w:p>
      <w:pPr>
        <w:pStyle w:val="Normal_66aeea3a-c70d-4cf8-9bad-5448b75b89f3"/>
        <w:widowControl w:val="false"/>
        <w:autoSpaceDE w:val="false"/>
        <w:autoSpaceDN w:val="false"/>
        <w:bidi/>
        <w:spacing w:line="240" w:lineRule="auto"/>
        <w:ind w:left="450"/>
        <w:rPr>
          <w:rFonts w:ascii="Arial" w:hAnsi="Arial" w:eastAsia="Arial" w:cs="Arial"/>
          <w:sz w:val="22"/>
          <w:szCs w:val="22"/>
          <w:lang w:val="fr-HT" w:eastAsia="en-US"/>
        </w:rPr>
      </w:pPr>
      <w:r>
        <w:rPr>
          <w:rFonts w:ascii="Arial" w:hAnsi="Arial" w:eastAsia="Arial" w:cs="Arial" w:hint="cs"/>
          <w:sz w:val="22"/>
          <w:szCs w:val="22"/>
          <w:rtl/>
        </w:rPr>
        <w:t xml:space="preserve">إن كان لديك أو لدى شخص تساعده أسئلة بخصوص </w:t>
      </w:r>
      <w:r>
        <w:rPr>
          <w:rFonts w:ascii="Arial" w:hAnsi="Arial" w:eastAsia="Arial" w:cs="Arial"/>
          <w:sz w:val="22"/>
          <w:szCs w:val="22"/>
          <w:lang w:val="fr-HT" w:eastAsia="en-US"/>
        </w:rPr>
        <w:t xml:space="preserve">Health</w:t>
      </w:r>
      <w:r>
        <w:rPr>
          <w:rFonts w:ascii="Arial" w:hAnsi="Arial" w:eastAsia="Arial" w:cs="Arial"/>
          <w:sz w:val="22"/>
          <w:szCs w:val="22"/>
          <w:lang w:val="fr-HT" w:eastAsia="en-US"/>
        </w:rPr>
        <w:t xml:space="preserve"> First </w:t>
      </w:r>
      <w:r>
        <w:rPr>
          <w:rFonts w:ascii="Arial" w:hAnsi="Arial" w:eastAsia="Arial" w:cs="Arial"/>
          <w:sz w:val="22"/>
          <w:szCs w:val="22"/>
          <w:lang w:val="fr-HT" w:eastAsia="en-US"/>
        </w:rPr>
        <w:t xml:space="preserve">Health</w:t>
      </w:r>
      <w:r>
        <w:rPr>
          <w:rFonts w:ascii="Arial" w:hAnsi="Arial" w:eastAsia="Arial" w:cs="Arial"/>
          <w:sz w:val="22"/>
          <w:szCs w:val="22"/>
          <w:lang w:val="fr-HT" w:eastAsia="en-US"/>
        </w:rPr>
        <w:t xml:space="preserve"> Plans</w:t>
      </w:r>
      <w:r>
        <w:rPr>
          <w:rFonts w:ascii="Arial" w:hAnsi="Arial" w:eastAsia="Arial" w:cs="Arial" w:hint="cs"/>
          <w:sz w:val="22"/>
          <w:szCs w:val="22"/>
          <w:rtl/>
        </w:rPr>
        <w:t xml:space="preserve">، فلديك الحق في الحصول على المساعدةوالمعلومات الضرورية بلغتك من دون أية تكلفة</w:t>
      </w:r>
      <w:r>
        <w:rPr>
          <w:rFonts w:ascii="Arial" w:hAnsi="Arial" w:eastAsia="Arial" w:cs="Arial" w:hint="cs"/>
          <w:sz w:val="22"/>
          <w:szCs w:val="22"/>
          <w:rtl/>
          <w:lang w:eastAsia="en-US"/>
        </w:rPr>
        <w:t xml:space="preserve">. </w:t>
      </w:r>
      <w:r>
        <w:rPr>
          <w:rFonts w:ascii="Arial" w:hAnsi="Arial" w:eastAsia="Arial" w:cs="Arial" w:hint="cs"/>
          <w:sz w:val="22"/>
          <w:szCs w:val="22"/>
          <w:rtl/>
        </w:rPr>
        <w:t xml:space="preserve">للتحدث مع مترجم اتصل بالرقم </w:t>
      </w:r>
      <w:r>
        <w:rPr>
          <w:rFonts w:ascii="Arial" w:hAnsi="Arial" w:eastAsia="Arial" w:cs="Arial"/>
          <w:sz w:val="22"/>
          <w:szCs w:val="22"/>
          <w:lang w:val="fr-HT" w:eastAsia="en-US"/>
        </w:rPr>
        <w:t xml:space="preserve">.855-443-4735</w:t>
      </w:r>
    </w:p>
    <w:p>
      <w:pPr>
        <w:pStyle w:val="Normal_66aeea3a-c70d-4cf8-9bad-5448b75b89f3"/>
        <w:widowControl w:val="false"/>
        <w:autoSpaceDE w:val="false"/>
        <w:autoSpaceDN w:val="false"/>
        <w:spacing w:before="0" w:after="0" w:line="280" w:lineRule="exact"/>
        <w:ind w:right="360"/>
        <w:outlineLvl w:val="1"/>
        <w:rPr>
          <w:rFonts w:ascii="Arial" w:hAnsi="Arial" w:eastAsia="Arial" w:cs="Arial"/>
          <w:b/>
          <w:bCs/>
          <w:sz w:val="22"/>
          <w:szCs w:val="22"/>
          <w:lang w:val="en-US" w:eastAsia="en-US"/>
        </w:rPr>
        <w:sectPr>
          <w:headerReference w:type="first" r:id="rId15"/>
          <w:headerReference w:type="even" r:id="rId16"/>
          <w:footerReference w:type="even" r:id="rId17"/>
          <w:headerReference w:type="default" r:id="rId18"/>
          <w:footerReference w:type="default" r:id="rId19"/>
          <w:type w:val="nextPage"/>
          <w:pgSz w:w="12240" w:h="15840"/>
          <w:pgMar w:top="360" w:right="1260" w:bottom="806" w:left="720" w:header="1440" w:footer="720" w:gutter="0"/>
          <w:pgBorders/>
          <w:pgNumType w:fmt="decimal"/>
          <w:cols w:num="1" w:equalWidth="0">
            <w:col w:w="11260" w:space="720"/>
          </w:cols>
          <w:titlePg/>
          <w:docGrid w:linePitch="299"/>
        </w:sectPr>
      </w:pPr>
    </w:p>
    <w:p>
      <w:pPr>
        <w:pStyle w:val="Normal_06f627c3-da49-4dd1-b2c6-7c005fc0a917"/>
        <w:widowControl w:val="false"/>
        <w:autoSpaceDE w:val="false"/>
        <w:autoSpaceDN w:val="false"/>
        <w:spacing w:before="0" w:after="0" w:line="280" w:lineRule="exact"/>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Italian:</w:t>
      </w:r>
    </w:p>
    <w:p>
      <w:pPr>
        <w:pStyle w:val="Normal_06f627c3-da49-4dd1-b2c6-7c005fc0a917"/>
        <w:widowControl w:val="false"/>
        <w:autoSpaceDE w:val="false"/>
        <w:autoSpaceDN w:val="false"/>
        <w:spacing w:before="0" w:line="280" w:lineRule="exact"/>
        <w:ind w:right="360"/>
        <w:rPr>
          <w:rFonts w:ascii="Calibri" w:hAnsi="Calibri" w:eastAsia="Arial" w:cs="Calibri"/>
          <w:sz w:val="22"/>
          <w:szCs w:val="22"/>
          <w:lang w:val="en-US" w:eastAsia="en-US"/>
        </w:rPr>
      </w:pPr>
      <w:r>
        <w:rPr>
          <w:rFonts w:ascii="Calibri" w:hAnsi="Calibri" w:eastAsia="Arial" w:cs="Calibri"/>
          <w:sz w:val="22"/>
          <w:szCs w:val="22"/>
          <w:lang w:eastAsia="en-US"/>
        </w:rPr>
        <w:t xml:space="preserve">Se lei o </w:t>
      </w:r>
      <w:r>
        <w:rPr>
          <w:rFonts w:ascii="Calibri" w:hAnsi="Calibri" w:eastAsia="Arial" w:cs="Calibri"/>
          <w:sz w:val="22"/>
          <w:szCs w:val="22"/>
          <w:lang w:eastAsia="en-US"/>
        </w:rPr>
        <w:t xml:space="preserve">qualcuno</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che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sta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aiutando</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avete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domande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su</w:t>
      </w:r>
      <w:r>
        <w:rPr>
          <w:rFonts w:ascii="Calibri" w:hAnsi="Calibri" w:eastAsia="Arial" w:cs="Calibri"/>
          <w:sz w:val="22"/>
          <w:szCs w:val="22"/>
          <w:lang w:eastAsia="en-US"/>
        </w:rPr>
        <w:t xml:space="preserve"> Health First Health Plans, ha </w:t>
      </w:r>
      <w:r>
        <w:rPr>
          <w:rFonts w:ascii="Calibri" w:hAnsi="Calibri" w:eastAsia="Arial" w:cs="Calibri"/>
          <w:sz w:val="22"/>
          <w:szCs w:val="22"/>
          <w:lang w:eastAsia="en-US"/>
        </w:rPr>
        <w:t xml:space="preserve">il</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diritto</w:t>
      </w:r>
      <w:r>
        <w:rPr>
          <w:rFonts w:ascii="Calibri" w:hAnsi="Calibri" w:eastAsia="Arial" w:cs="Calibri"/>
          <w:sz w:val="22"/>
          <w:szCs w:val="22"/>
          <w:lang w:eastAsia="en-US"/>
        </w:rPr>
        <w:t xml:space="preserve"> di </w:t>
      </w:r>
      <w:r>
        <w:rPr>
          <w:rFonts w:ascii="Calibri" w:hAnsi="Calibri" w:eastAsia="Arial" w:cs="Calibri"/>
          <w:sz w:val="22"/>
          <w:szCs w:val="22"/>
          <w:lang w:eastAsia="en-US"/>
        </w:rPr>
        <w:t xml:space="preserve">ottenere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aiuto</w:t>
      </w:r>
      <w:r>
        <w:rPr>
          <w:rFonts w:ascii="Calibri" w:hAnsi="Calibri" w:eastAsia="Arial" w:cs="Calibri"/>
          <w:sz w:val="22"/>
          <w:szCs w:val="22"/>
          <w:lang w:eastAsia="en-US"/>
        </w:rPr>
        <w:t xml:space="preserve"> e </w:t>
      </w:r>
      <w:r>
        <w:rPr>
          <w:rFonts w:ascii="Calibri" w:hAnsi="Calibri" w:eastAsia="Arial" w:cs="Calibri"/>
          <w:sz w:val="22"/>
          <w:szCs w:val="22"/>
          <w:lang w:eastAsia="en-US"/>
        </w:rPr>
        <w:t xml:space="preserve">informazioni</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nella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sua</w:t>
      </w:r>
      <w:r>
        <w:rPr>
          <w:rFonts w:ascii="Calibri" w:hAnsi="Calibri" w:eastAsia="Arial" w:cs="Calibri"/>
          <w:sz w:val="22"/>
          <w:szCs w:val="22"/>
          <w:lang w:eastAsia="en-US"/>
        </w:rPr>
        <w:t xml:space="preserve"> lingua </w:t>
      </w:r>
      <w:r>
        <w:rPr>
          <w:rFonts w:ascii="Calibri" w:hAnsi="Calibri" w:eastAsia="Arial" w:cs="Calibri"/>
          <w:sz w:val="22"/>
          <w:szCs w:val="22"/>
          <w:lang w:eastAsia="en-US"/>
        </w:rPr>
        <w:t xml:space="preserve">gratuitamente</w:t>
      </w:r>
      <w:r>
        <w:rPr>
          <w:rFonts w:ascii="Calibri" w:hAnsi="Calibri" w:eastAsia="Arial" w:cs="Calibri"/>
          <w:sz w:val="22"/>
          <w:szCs w:val="22"/>
          <w:lang w:eastAsia="en-US"/>
        </w:rPr>
        <w:t xml:space="preserve">. Per </w:t>
      </w:r>
      <w:r>
        <w:rPr>
          <w:rFonts w:ascii="Calibri" w:hAnsi="Calibri" w:eastAsia="Arial" w:cs="Calibri"/>
          <w:sz w:val="22"/>
          <w:szCs w:val="22"/>
          <w:lang w:eastAsia="en-US"/>
        </w:rPr>
        <w:t xml:space="preserve">parlare</w:t>
      </w:r>
      <w:r>
        <w:rPr>
          <w:rFonts w:ascii="Calibri" w:hAnsi="Calibri" w:eastAsia="Arial" w:cs="Calibri"/>
          <w:sz w:val="22"/>
          <w:szCs w:val="22"/>
          <w:lang w:eastAsia="en-US"/>
        </w:rPr>
        <w:t xml:space="preserve"> con un </w:t>
      </w:r>
      <w:r>
        <w:rPr>
          <w:rFonts w:ascii="Calibri" w:hAnsi="Calibri" w:eastAsia="Arial" w:cs="Calibri"/>
          <w:sz w:val="22"/>
          <w:szCs w:val="22"/>
          <w:lang w:eastAsia="en-US"/>
        </w:rPr>
        <w:t xml:space="preserve">interprete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può</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chiamare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il</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numero</w:t>
      </w:r>
      <w:r>
        <w:rPr>
          <w:rFonts w:ascii="Calibri" w:hAnsi="Calibri" w:eastAsia="Arial" w:cs="Calibri"/>
          <w:sz w:val="22"/>
          <w:szCs w:val="22"/>
          <w:lang w:eastAsia="en-US"/>
        </w:rPr>
        <w:t xml:space="preserve"> 855-443-4735.</w:t>
      </w:r>
    </w:p>
    <w:p>
      <w:pPr>
        <w:pStyle w:val="Normal_06f627c3-da49-4dd1-b2c6-7c005fc0a917"/>
        <w:widowControl w:val="false"/>
        <w:autoSpaceDE w:val="false"/>
        <w:autoSpaceDN w:val="false"/>
        <w:spacing w:before="0" w:after="0" w:line="280" w:lineRule="exact"/>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German:</w:t>
      </w:r>
    </w:p>
    <w:p>
      <w:pPr>
        <w:pStyle w:val="Normal_06f627c3-da49-4dd1-b2c6-7c005fc0a917"/>
        <w:widowControl w:val="false"/>
        <w:autoSpaceDE w:val="false"/>
        <w:autoSpaceDN w:val="false"/>
        <w:spacing w:before="0" w:line="280" w:lineRule="exact"/>
        <w:ind w:right="792"/>
        <w:rPr>
          <w:rFonts w:ascii="Calibri" w:hAnsi="Calibri" w:eastAsia="Arial" w:cs="Calibri"/>
          <w:sz w:val="22"/>
          <w:szCs w:val="22"/>
          <w:lang w:val="en-US" w:eastAsia="en-US"/>
        </w:rPr>
      </w:pPr>
      <w:r>
        <w:rPr>
          <w:rFonts w:ascii="Calibri" w:hAnsi="Calibri" w:eastAsia="Arial" w:cs="Calibri"/>
          <w:sz w:val="22"/>
          <w:szCs w:val="22"/>
          <w:lang w:eastAsia="en-US"/>
        </w:rPr>
        <w:t xml:space="preserve">Falls Sie </w:t>
      </w:r>
      <w:r>
        <w:rPr>
          <w:rFonts w:ascii="Calibri" w:hAnsi="Calibri" w:eastAsia="Arial" w:cs="Calibri"/>
          <w:sz w:val="22"/>
          <w:szCs w:val="22"/>
          <w:lang w:eastAsia="en-US"/>
        </w:rPr>
        <w:t xml:space="preserve">oder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jemand</w:t>
      </w:r>
      <w:r>
        <w:rPr>
          <w:rFonts w:ascii="Calibri" w:hAnsi="Calibri" w:eastAsia="Arial" w:cs="Calibri"/>
          <w:sz w:val="22"/>
          <w:szCs w:val="22"/>
          <w:lang w:eastAsia="en-US"/>
        </w:rPr>
        <w:t xml:space="preserve">, dem Sie </w:t>
      </w:r>
      <w:r>
        <w:rPr>
          <w:rFonts w:ascii="Calibri" w:hAnsi="Calibri" w:eastAsia="Arial" w:cs="Calibri"/>
          <w:sz w:val="22"/>
          <w:szCs w:val="22"/>
          <w:lang w:eastAsia="en-US"/>
        </w:rPr>
        <w:t xml:space="preserve">helfen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Fragen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zum</w:t>
      </w:r>
      <w:r>
        <w:rPr>
          <w:rFonts w:ascii="Calibri" w:hAnsi="Calibri" w:eastAsia="Arial" w:cs="Calibri"/>
          <w:sz w:val="22"/>
          <w:szCs w:val="22"/>
          <w:lang w:eastAsia="en-US"/>
        </w:rPr>
        <w:t xml:space="preserve"> Health First Health Plans </w:t>
      </w:r>
      <w:r>
        <w:rPr>
          <w:rFonts w:ascii="Calibri" w:hAnsi="Calibri" w:eastAsia="Arial" w:cs="Calibri"/>
          <w:sz w:val="22"/>
          <w:szCs w:val="22"/>
          <w:lang w:eastAsia="en-US"/>
        </w:rPr>
        <w:t xml:space="preserve">haben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haben</w:t>
      </w:r>
      <w:r>
        <w:rPr>
          <w:rFonts w:ascii="Calibri" w:hAnsi="Calibri" w:eastAsia="Arial" w:cs="Calibri"/>
          <w:sz w:val="22"/>
          <w:szCs w:val="22"/>
          <w:lang w:eastAsia="en-US"/>
        </w:rPr>
        <w:t xml:space="preserve"> Sie das </w:t>
      </w:r>
      <w:r>
        <w:rPr>
          <w:rFonts w:ascii="Calibri" w:hAnsi="Calibri" w:eastAsia="Arial" w:cs="Calibri"/>
          <w:sz w:val="22"/>
          <w:szCs w:val="22"/>
          <w:lang w:eastAsia="en-US"/>
        </w:rPr>
        <w:t xml:space="preserve">Recht</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kostenlose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Hilfe</w:t>
      </w:r>
      <w:r>
        <w:rPr>
          <w:rFonts w:ascii="Calibri" w:hAnsi="Calibri" w:eastAsia="Arial" w:cs="Calibri"/>
          <w:sz w:val="22"/>
          <w:szCs w:val="22"/>
          <w:lang w:eastAsia="en-US"/>
        </w:rPr>
        <w:t xml:space="preserve"> und </w:t>
      </w:r>
      <w:r>
        <w:rPr>
          <w:rFonts w:ascii="Calibri" w:hAnsi="Calibri" w:eastAsia="Arial" w:cs="Calibri"/>
          <w:sz w:val="22"/>
          <w:szCs w:val="22"/>
          <w:lang w:eastAsia="en-US"/>
        </w:rPr>
        <w:t xml:space="preserve">Informationen</w:t>
      </w:r>
      <w:r>
        <w:rPr>
          <w:rFonts w:ascii="Calibri" w:hAnsi="Calibri" w:eastAsia="Arial" w:cs="Calibri"/>
          <w:sz w:val="22"/>
          <w:szCs w:val="22"/>
          <w:lang w:eastAsia="en-US"/>
        </w:rPr>
        <w:t xml:space="preserve"> in </w:t>
      </w:r>
      <w:r>
        <w:rPr>
          <w:rFonts w:ascii="Calibri" w:hAnsi="Calibri" w:eastAsia="Arial" w:cs="Calibri"/>
          <w:sz w:val="22"/>
          <w:szCs w:val="22"/>
          <w:lang w:eastAsia="en-US"/>
        </w:rPr>
        <w:t xml:space="preserve">Ihrer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Sprache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zu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erhalten</w:t>
      </w:r>
      <w:r>
        <w:rPr>
          <w:rFonts w:ascii="Calibri" w:hAnsi="Calibri" w:eastAsia="Arial" w:cs="Calibri"/>
          <w:sz w:val="22"/>
          <w:szCs w:val="22"/>
          <w:lang w:eastAsia="en-US"/>
        </w:rPr>
        <w:t xml:space="preserve">. Um </w:t>
      </w:r>
      <w:r>
        <w:rPr>
          <w:rFonts w:ascii="Calibri" w:hAnsi="Calibri" w:eastAsia="Arial" w:cs="Calibri"/>
          <w:sz w:val="22"/>
          <w:szCs w:val="22"/>
          <w:lang w:eastAsia="en-US"/>
        </w:rPr>
        <w:t xml:space="preserve">mit</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einem</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Dolmetscher</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zu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sprechen</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rufen</w:t>
      </w:r>
      <w:r>
        <w:rPr>
          <w:rFonts w:ascii="Calibri" w:hAnsi="Calibri" w:eastAsia="Arial" w:cs="Calibri"/>
          <w:sz w:val="22"/>
          <w:szCs w:val="22"/>
          <w:lang w:eastAsia="en-US"/>
        </w:rPr>
        <w:t xml:space="preserve"> Sie </w:t>
      </w:r>
      <w:r>
        <w:rPr>
          <w:rFonts w:ascii="Calibri" w:hAnsi="Calibri" w:eastAsia="Arial" w:cs="Calibri"/>
          <w:sz w:val="22"/>
          <w:szCs w:val="22"/>
          <w:lang w:eastAsia="en-US"/>
        </w:rPr>
        <w:t xml:space="preserve">bitte</w:t>
      </w:r>
      <w:r>
        <w:rPr>
          <w:rFonts w:ascii="Calibri" w:hAnsi="Calibri" w:eastAsia="Arial" w:cs="Calibri"/>
          <w:sz w:val="22"/>
          <w:szCs w:val="22"/>
          <w:lang w:eastAsia="en-US"/>
        </w:rPr>
        <w:t xml:space="preserve"> die </w:t>
      </w:r>
      <w:r>
        <w:rPr>
          <w:rFonts w:ascii="Calibri" w:hAnsi="Calibri" w:eastAsia="Arial" w:cs="Calibri"/>
          <w:sz w:val="22"/>
          <w:szCs w:val="22"/>
          <w:lang w:eastAsia="en-US"/>
        </w:rPr>
        <w:t xml:space="preserve">Nummer</w:t>
      </w:r>
      <w:r>
        <w:rPr>
          <w:rFonts w:ascii="Calibri" w:hAnsi="Calibri" w:eastAsia="Arial" w:cs="Calibri"/>
          <w:sz w:val="22"/>
          <w:szCs w:val="22"/>
          <w:lang w:eastAsia="en-US"/>
        </w:rPr>
        <w:t xml:space="preserve"> 855-443-4735 an.</w:t>
      </w:r>
    </w:p>
    <w:p>
      <w:pPr>
        <w:pStyle w:val="Normal_06f627c3-da49-4dd1-b2c6-7c005fc0a917"/>
        <w:widowControl w:val="false"/>
        <w:autoSpaceDE w:val="false"/>
        <w:autoSpaceDN w:val="false"/>
        <w:spacing w:before="0" w:after="0" w:line="280" w:lineRule="exact"/>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Korean:</w:t>
      </w:r>
    </w:p>
    <w:p>
      <w:pPr>
        <w:pStyle w:val="Normal_06f627c3-da49-4dd1-b2c6-7c005fc0a917"/>
        <w:widowControl w:val="false"/>
        <w:autoSpaceDE w:val="false"/>
        <w:autoSpaceDN w:val="false"/>
        <w:spacing w:before="0" w:line="280" w:lineRule="exact"/>
        <w:ind w:right="792"/>
        <w:rPr>
          <w:rFonts w:ascii="Arial Unicode MS" w:hAnsi="Arial" w:eastAsia="Arial Unicode MS" w:cs="Arial"/>
          <w:sz w:val="22"/>
          <w:szCs w:val="22"/>
          <w:lang w:val="en-US" w:eastAsia="en-US"/>
        </w:rPr>
      </w:pPr>
      <w:r>
        <w:rPr>
          <w:rFonts w:ascii="Malgun Gothic" w:hAnsi="Malgun Gothic" w:eastAsia="Malgun Gothic" w:cs="Arial" w:hint="eastAsia"/>
          <w:sz w:val="22"/>
          <w:szCs w:val="22"/>
          <w:lang w:eastAsia="en-US"/>
        </w:rPr>
        <w:t xml:space="preserve">만약</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귀하</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또는</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귀하가</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돕고</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있는</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어떤</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사람이</w:t>
      </w:r>
      <w:r>
        <w:rPr>
          <w:rFonts w:ascii="Arial Unicode MS" w:hAnsi="Arial" w:eastAsia="Arial Unicode MS" w:cs="Arial" w:hint="eastAsia"/>
          <w:sz w:val="22"/>
          <w:szCs w:val="22"/>
          <w:lang w:eastAsia="en-US"/>
        </w:rPr>
        <w:t xml:space="preserve"> </w:t>
      </w:r>
      <w:r>
        <w:rPr>
          <w:rFonts w:ascii="Calibri" w:hAnsi="Calibri" w:eastAsia="Arial Unicode MS" w:cs="Calibri"/>
          <w:sz w:val="22"/>
          <w:szCs w:val="22"/>
          <w:lang w:eastAsia="en-US"/>
        </w:rPr>
        <w:t xml:space="preserve">Health First Health Plans </w:t>
      </w:r>
      <w:r>
        <w:rPr>
          <w:rFonts w:ascii="Malgun Gothic" w:hAnsi="Malgun Gothic" w:eastAsia="Malgun Gothic" w:cs="Arial" w:hint="eastAsia"/>
          <w:sz w:val="22"/>
          <w:szCs w:val="22"/>
          <w:lang w:eastAsia="en-US"/>
        </w:rPr>
        <w:t xml:space="preserve">에 </w:t>
      </w:r>
      <w:r>
        <w:rPr>
          <w:rFonts w:ascii="Malgun Gothic" w:hAnsi="Malgun Gothic" w:eastAsia="Malgun Gothic" w:cs="Arial" w:hint="eastAsia"/>
          <w:sz w:val="22"/>
          <w:szCs w:val="22"/>
          <w:lang w:eastAsia="en-US"/>
        </w:rPr>
        <w:t xml:space="preserve">관해서</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질문이</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있다면</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귀하는</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그러한</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도움과</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정보를</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귀하의</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언어로</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비용</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부담없이</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얻을</w:t>
      </w:r>
      <w:r>
        <w:rPr>
          <w:rFonts w:ascii="Malgun Gothic" w:hAnsi="Malgun Gothic" w:eastAsia="Malgun Gothic" w:cs="Arial" w:hint="eastAsia"/>
          <w:sz w:val="22"/>
          <w:szCs w:val="22"/>
          <w:lang w:eastAsia="en-US"/>
        </w:rPr>
        <w:t xml:space="preserve"> 수 </w:t>
      </w:r>
      <w:r>
        <w:rPr>
          <w:rFonts w:ascii="Malgun Gothic" w:hAnsi="Malgun Gothic" w:eastAsia="Malgun Gothic" w:cs="Arial" w:hint="eastAsia"/>
          <w:sz w:val="22"/>
          <w:szCs w:val="22"/>
          <w:lang w:eastAsia="en-US"/>
        </w:rPr>
        <w:t xml:space="preserve">있는</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권리가</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있습니다</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그렇게</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통역사와</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얘기하기</w:t>
      </w:r>
      <w:r>
        <w:rPr>
          <w:rFonts w:ascii="Malgun Gothic" w:hAnsi="Malgun Gothic" w:eastAsia="Malgun Gothic" w:cs="Arial" w:hint="eastAsia"/>
          <w:sz w:val="22"/>
          <w:szCs w:val="22"/>
          <w:lang w:eastAsia="en-US"/>
        </w:rPr>
        <w:t xml:space="preserve"> </w:t>
      </w:r>
      <w:r>
        <w:rPr>
          <w:rFonts w:ascii="Malgun Gothic" w:hAnsi="Malgun Gothic" w:eastAsia="Malgun Gothic" w:cs="Arial" w:hint="eastAsia"/>
          <w:sz w:val="22"/>
          <w:szCs w:val="22"/>
          <w:lang w:eastAsia="en-US"/>
        </w:rPr>
        <w:t xml:space="preserve">위해서는</w:t>
      </w:r>
      <w:r>
        <w:rPr>
          <w:rFonts w:ascii="Arial Unicode MS" w:hAnsi="Arial" w:eastAsia="Arial Unicode MS" w:cs="Arial" w:hint="eastAsia"/>
          <w:sz w:val="22"/>
          <w:szCs w:val="22"/>
          <w:lang w:eastAsia="en-US"/>
        </w:rPr>
        <w:t xml:space="preserve"> </w:t>
      </w:r>
      <w:r>
        <w:rPr>
          <w:rFonts w:ascii="Calibri" w:hAnsi="Calibri" w:eastAsia="Arial Unicode MS" w:cs="Calibri"/>
          <w:sz w:val="22"/>
          <w:szCs w:val="22"/>
          <w:lang w:eastAsia="en-US"/>
        </w:rPr>
        <w:t xml:space="preserve">855-443-4735 </w:t>
      </w:r>
      <w:r>
        <w:rPr>
          <w:rFonts w:ascii="Malgun Gothic" w:hAnsi="Malgun Gothic" w:eastAsia="Malgun Gothic" w:cs="Arial" w:hint="eastAsia"/>
          <w:sz w:val="22"/>
          <w:szCs w:val="22"/>
          <w:lang w:eastAsia="en-US"/>
        </w:rPr>
        <w:t xml:space="preserve">로 </w:t>
      </w:r>
      <w:r>
        <w:rPr>
          <w:rFonts w:ascii="Malgun Gothic" w:hAnsi="Malgun Gothic" w:eastAsia="Malgun Gothic" w:cs="Arial" w:hint="eastAsia"/>
          <w:sz w:val="22"/>
          <w:szCs w:val="22"/>
          <w:lang w:eastAsia="en-US"/>
        </w:rPr>
        <w:t xml:space="preserve">전화하십시오</w:t>
      </w:r>
      <w:r>
        <w:rPr>
          <w:rFonts w:ascii="Malgun Gothic" w:hAnsi="Malgun Gothic" w:eastAsia="Malgun Gothic" w:cs="Arial" w:hint="eastAsia"/>
          <w:sz w:val="22"/>
          <w:szCs w:val="22"/>
          <w:lang w:eastAsia="en-US"/>
        </w:rPr>
        <w:t xml:space="preserve">.</w:t>
      </w:r>
    </w:p>
    <w:p>
      <w:pPr>
        <w:pStyle w:val="Normal_06f627c3-da49-4dd1-b2c6-7c005fc0a917"/>
        <w:widowControl w:val="false"/>
        <w:autoSpaceDE w:val="false"/>
        <w:autoSpaceDN w:val="false"/>
        <w:spacing w:before="0" w:after="0" w:line="280" w:lineRule="exact"/>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Polish:</w:t>
      </w:r>
    </w:p>
    <w:p>
      <w:pPr>
        <w:pStyle w:val="Normal_06f627c3-da49-4dd1-b2c6-7c005fc0a917"/>
        <w:widowControl w:val="false"/>
        <w:autoSpaceDE w:val="false"/>
        <w:autoSpaceDN w:val="false"/>
        <w:spacing w:before="0" w:line="280" w:lineRule="exact"/>
        <w:ind w:right="792"/>
        <w:rPr>
          <w:rFonts w:ascii="Calibri" w:hAnsi="Calibri" w:eastAsia="Arial" w:cs="Calibri"/>
          <w:sz w:val="22"/>
          <w:szCs w:val="22"/>
          <w:lang w:val="en-US" w:eastAsia="en-US"/>
        </w:rPr>
      </w:pPr>
      <w:r>
        <w:rPr>
          <w:rFonts w:ascii="Calibri" w:hAnsi="Calibri" w:eastAsia="Arial" w:cs="Calibri"/>
          <w:sz w:val="22"/>
          <w:szCs w:val="22"/>
          <w:lang w:eastAsia="en-US"/>
        </w:rPr>
        <w:t xml:space="preserve">Jeśli</w:t>
      </w:r>
      <w:r>
        <w:rPr>
          <w:rFonts w:ascii="Calibri" w:hAnsi="Calibri" w:eastAsia="Arial" w:cs="Calibri"/>
          <w:sz w:val="22"/>
          <w:szCs w:val="22"/>
          <w:lang w:eastAsia="en-US"/>
        </w:rPr>
        <w:t xml:space="preserve"> Ty </w:t>
      </w:r>
      <w:r>
        <w:rPr>
          <w:rFonts w:ascii="Calibri" w:hAnsi="Calibri" w:eastAsia="Arial" w:cs="Calibri"/>
          <w:sz w:val="22"/>
          <w:szCs w:val="22"/>
          <w:lang w:eastAsia="en-US"/>
        </w:rPr>
        <w:t xml:space="preserve">lub</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osoba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której</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pomagasz</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macie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pytania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na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temat</w:t>
      </w:r>
      <w:r>
        <w:rPr>
          <w:rFonts w:ascii="Calibri" w:hAnsi="Calibri" w:eastAsia="Arial" w:cs="Calibri"/>
          <w:sz w:val="22"/>
          <w:szCs w:val="22"/>
          <w:lang w:eastAsia="en-US"/>
        </w:rPr>
        <w:t xml:space="preserve"> Health First Health Plans, </w:t>
      </w:r>
      <w:r>
        <w:rPr>
          <w:rFonts w:ascii="Calibri" w:hAnsi="Calibri" w:eastAsia="Arial" w:cs="Calibri"/>
          <w:sz w:val="22"/>
          <w:szCs w:val="22"/>
          <w:lang w:eastAsia="en-US"/>
        </w:rPr>
        <w:t xml:space="preserve">macie</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Państwo</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prawo</w:t>
      </w:r>
      <w:r>
        <w:rPr>
          <w:rFonts w:ascii="Calibri" w:hAnsi="Calibri" w:eastAsia="Arial" w:cs="Calibri"/>
          <w:sz w:val="22"/>
          <w:szCs w:val="22"/>
          <w:lang w:eastAsia="en-US"/>
        </w:rPr>
        <w:t xml:space="preserve"> do </w:t>
      </w:r>
      <w:r>
        <w:rPr>
          <w:rFonts w:ascii="Calibri" w:hAnsi="Calibri" w:eastAsia="Arial" w:cs="Calibri"/>
          <w:sz w:val="22"/>
          <w:szCs w:val="22"/>
          <w:lang w:eastAsia="en-US"/>
        </w:rPr>
        <w:t xml:space="preserve">bezpłatnego</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uzyskania</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informacji</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i</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pomocy</w:t>
      </w:r>
      <w:r>
        <w:rPr>
          <w:rFonts w:ascii="Calibri" w:hAnsi="Calibri" w:eastAsia="Arial" w:cs="Calibri"/>
          <w:sz w:val="22"/>
          <w:szCs w:val="22"/>
          <w:lang w:eastAsia="en-US"/>
        </w:rPr>
        <w:t xml:space="preserve"> w </w:t>
      </w:r>
      <w:r>
        <w:rPr>
          <w:rFonts w:ascii="Calibri" w:hAnsi="Calibri" w:eastAsia="Arial" w:cs="Calibri"/>
          <w:sz w:val="22"/>
          <w:szCs w:val="22"/>
          <w:lang w:eastAsia="en-US"/>
        </w:rPr>
        <w:t xml:space="preserve">języku</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ojczystym</w:t>
      </w:r>
      <w:r>
        <w:rPr>
          <w:rFonts w:ascii="Calibri" w:hAnsi="Calibri" w:eastAsia="Arial" w:cs="Calibri"/>
          <w:sz w:val="22"/>
          <w:szCs w:val="22"/>
          <w:lang w:eastAsia="en-US"/>
        </w:rPr>
        <w:t xml:space="preserve">. Aby </w:t>
      </w:r>
      <w:r>
        <w:rPr>
          <w:rFonts w:ascii="Calibri" w:hAnsi="Calibri" w:eastAsia="Arial" w:cs="Calibri"/>
          <w:sz w:val="22"/>
          <w:szCs w:val="22"/>
          <w:lang w:eastAsia="en-US"/>
        </w:rPr>
        <w:t xml:space="preserve">porozmawiać</w:t>
      </w:r>
      <w:r>
        <w:rPr>
          <w:rFonts w:ascii="Calibri" w:hAnsi="Calibri" w:eastAsia="Arial" w:cs="Calibri"/>
          <w:sz w:val="22"/>
          <w:szCs w:val="22"/>
          <w:lang w:eastAsia="en-US"/>
        </w:rPr>
        <w:t xml:space="preserve"> z </w:t>
      </w:r>
      <w:r>
        <w:rPr>
          <w:rFonts w:ascii="Calibri" w:hAnsi="Calibri" w:eastAsia="Arial" w:cs="Calibri"/>
          <w:sz w:val="22"/>
          <w:szCs w:val="22"/>
          <w:lang w:eastAsia="en-US"/>
        </w:rPr>
        <w:t xml:space="preserve">tłumaczem</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prosimy</w:t>
      </w:r>
      <w:r>
        <w:rPr>
          <w:rFonts w:ascii="Calibri" w:hAnsi="Calibri" w:eastAsia="Arial" w:cs="Calibri"/>
          <w:sz w:val="22"/>
          <w:szCs w:val="22"/>
          <w:lang w:eastAsia="en-US"/>
        </w:rPr>
        <w:t xml:space="preserve"> </w:t>
      </w:r>
      <w:r>
        <w:rPr>
          <w:rFonts w:ascii="Calibri" w:hAnsi="Calibri" w:eastAsia="Arial" w:cs="Calibri"/>
          <w:sz w:val="22"/>
          <w:szCs w:val="22"/>
          <w:lang w:eastAsia="en-US"/>
        </w:rPr>
        <w:t xml:space="preserve">zadzwonić</w:t>
      </w:r>
      <w:r>
        <w:rPr>
          <w:rFonts w:ascii="Calibri" w:hAnsi="Calibri" w:eastAsia="Arial" w:cs="Calibri"/>
          <w:sz w:val="22"/>
          <w:szCs w:val="22"/>
          <w:lang w:eastAsia="en-US"/>
        </w:rPr>
        <w:t xml:space="preserve"> pod </w:t>
      </w:r>
      <w:r>
        <w:rPr>
          <w:rFonts w:ascii="Calibri" w:hAnsi="Calibri" w:eastAsia="Arial" w:cs="Calibri"/>
          <w:sz w:val="22"/>
          <w:szCs w:val="22"/>
          <w:lang w:eastAsia="en-US"/>
        </w:rPr>
        <w:t xml:space="preserve">numer</w:t>
      </w:r>
      <w:r>
        <w:rPr>
          <w:rFonts w:ascii="Calibri" w:hAnsi="Calibri" w:eastAsia="Arial" w:cs="Calibri"/>
          <w:sz w:val="22"/>
          <w:szCs w:val="22"/>
          <w:lang w:eastAsia="en-US"/>
        </w:rPr>
        <w:t xml:space="preserve"> 855-443-4735.</w:t>
      </w:r>
    </w:p>
    <w:p>
      <w:pPr>
        <w:pStyle w:val="Normal_06f627c3-da49-4dd1-b2c6-7c005fc0a917"/>
        <w:widowControl w:val="false"/>
        <w:autoSpaceDE w:val="false"/>
        <w:autoSpaceDN w:val="false"/>
        <w:spacing w:before="0" w:after="0" w:line="280" w:lineRule="exact"/>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Gujarati:</w:t>
      </w:r>
    </w:p>
    <w:p>
      <w:pPr>
        <w:pStyle w:val="Normal_06f627c3-da49-4dd1-b2c6-7c005fc0a917"/>
        <w:widowControl w:val="false"/>
        <w:autoSpaceDE w:val="false"/>
        <w:autoSpaceDN w:val="false"/>
        <w:spacing w:before="0" w:line="280" w:lineRule="exact"/>
        <w:ind w:right="792"/>
        <w:rPr>
          <w:rFonts w:ascii="Shruti" w:hAnsi="Shruti" w:eastAsia="Arial Unicode MS" w:cs="Shruti"/>
          <w:sz w:val="22"/>
          <w:szCs w:val="22"/>
          <w:lang w:val="en-US" w:eastAsia="en-US"/>
        </w:rPr>
      </w:pPr>
      <w:r>
        <w:rPr>
          <w:rFonts w:ascii="Nirmala UI" w:hAnsi="Nirmala UI" w:eastAsia="Arial" w:cs="Nirmala UI" w:hint="cs"/>
          <w:sz w:val="22"/>
          <w:szCs w:val="22"/>
          <w:cs/>
          <w:lang w:eastAsia="gu-IN"/>
        </w:rPr>
        <w:t xml:space="preserve">જો</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તમે</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અથવા</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તમે</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કોઇને</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મદદ</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કરી</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રહ્યા</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હો</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તેમાંથી</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કોઇને</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હૅલ્થ</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ફર્સ્ટ</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હૅલ્થ</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પ્લાન્સ</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વિશે</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પ્રશ્નો</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હોય</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તો</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તમને</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તમારી</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ભાષામાં</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વિના</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મૂલ્યે</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મદદ</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અને</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માહિતી</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મેળવવાનો</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અધિકાર</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છે</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દુભાષિયા</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સાથે</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વાત</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કરવા</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માટે</w:t>
      </w:r>
      <w:r>
        <w:rPr>
          <w:rFonts w:ascii="Shruti" w:hAnsi="Shruti" w:eastAsia="Arial Unicode MS" w:cs="Calibri"/>
          <w:sz w:val="22"/>
          <w:szCs w:val="22"/>
          <w:lang w:eastAsia="en-US"/>
        </w:rPr>
        <w:t xml:space="preserve"> 855-443-4735</w:t>
      </w:r>
      <w:r>
        <w:rPr>
          <w:rFonts w:ascii="Shruti" w:hAnsi="Shruti" w:eastAsia="Arial Unicode MS" w:cs="Arial Unicode MS"/>
          <w:sz w:val="22"/>
          <w:szCs w:val="22"/>
          <w:lang w:eastAsia="en-US"/>
        </w:rPr>
        <w:t xml:space="preserve"> </w:t>
      </w:r>
      <w:r>
        <w:rPr>
          <w:rFonts w:ascii="Nirmala UI" w:hAnsi="Nirmala UI" w:eastAsia="Arial" w:cs="Nirmala UI" w:hint="cs"/>
          <w:sz w:val="22"/>
          <w:szCs w:val="22"/>
          <w:cs/>
          <w:lang w:eastAsia="gu-IN"/>
        </w:rPr>
        <w:t xml:space="preserve">પર</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કૉલ</w:t>
      </w:r>
      <w:r>
        <w:rPr>
          <w:rFonts w:ascii="Shruti" w:hAnsi="Shruti" w:eastAsia="Arial" w:cs="Shruti"/>
          <w:sz w:val="22"/>
          <w:szCs w:val="22"/>
          <w:cs/>
          <w:lang w:eastAsia="gu-IN"/>
        </w:rPr>
        <w:t xml:space="preserve"> </w:t>
      </w:r>
      <w:r>
        <w:rPr>
          <w:rFonts w:ascii="Nirmala UI" w:hAnsi="Nirmala UI" w:eastAsia="Arial" w:cs="Nirmala UI" w:hint="cs"/>
          <w:sz w:val="22"/>
          <w:szCs w:val="22"/>
          <w:cs/>
          <w:lang w:eastAsia="gu-IN"/>
        </w:rPr>
        <w:t xml:space="preserve">કરો</w:t>
      </w:r>
      <w:r>
        <w:rPr>
          <w:rFonts w:ascii="Shruti" w:hAnsi="Shruti" w:eastAsia="Arial" w:cs="Shruti"/>
          <w:sz w:val="22"/>
          <w:szCs w:val="22"/>
          <w:cs/>
          <w:lang w:eastAsia="gu-IN"/>
        </w:rPr>
        <w:t xml:space="preserve">.</w:t>
      </w:r>
    </w:p>
    <w:p>
      <w:pPr>
        <w:pStyle w:val="Normal_06f627c3-da49-4dd1-b2c6-7c005fc0a917"/>
        <w:widowControl w:val="false"/>
        <w:autoSpaceDE w:val="false"/>
        <w:autoSpaceDN w:val="false"/>
        <w:spacing w:before="0" w:after="0" w:line="280" w:lineRule="exact"/>
        <w:outlineLvl w:val="1"/>
        <w:rPr>
          <w:rFonts w:ascii="Arial" w:hAnsi="Arial" w:eastAsia="Arial" w:cs="Arial"/>
          <w:b/>
          <w:bCs/>
          <w:sz w:val="22"/>
          <w:szCs w:val="22"/>
          <w:lang w:val="en-US" w:eastAsia="en-US"/>
        </w:rPr>
      </w:pPr>
      <w:r>
        <w:rPr>
          <w:rFonts w:ascii="Arial" w:hAnsi="Arial" w:eastAsia="Arial" w:cs="Arial"/>
          <w:b/>
          <w:bCs/>
          <w:sz w:val="22"/>
          <w:szCs w:val="22"/>
          <w:lang w:eastAsia="en-US"/>
        </w:rPr>
        <w:t xml:space="preserve">Thai:</w:t>
      </w:r>
    </w:p>
    <w:p>
      <w:pPr>
        <w:pStyle w:val="Normal_06f627c3-da49-4dd1-b2c6-7c005fc0a917"/>
        <w:widowControl w:val="false"/>
        <w:autoSpaceDE w:val="false"/>
        <w:autoSpaceDN w:val="false"/>
        <w:spacing w:before="0" w:after="0" w:line="280" w:lineRule="exact"/>
        <w:rPr>
          <w:rFonts w:ascii="Calibri" w:hAnsi="Calibri" w:eastAsia="Arial" w:cs="Calibri"/>
          <w:sz w:val="22"/>
          <w:szCs w:val="22"/>
          <w:lang w:val="en-US" w:eastAsia="en-US"/>
        </w:rPr>
      </w:pPr>
      <w:r>
        <w:rPr>
          <w:rFonts w:ascii="Cordia New" w:hAnsi="Cordia New" w:eastAsia="Arial" w:cs="Cordia New"/>
          <w:sz w:val="28"/>
          <w:szCs w:val="28"/>
          <w:cs/>
          <w:lang w:eastAsia="th-TH"/>
        </w:rPr>
        <w:t xml:space="preserve">หากคุณหรือคนที่คุณกำลังช่วยเหลือมีคำถามเกี่ยวกับ</w:t>
      </w:r>
      <w:r>
        <w:rPr>
          <w:rFonts w:ascii="Cordia New" w:hAnsi="Cordia New" w:eastAsia="Arial" w:cs="Cordia New"/>
          <w:sz w:val="18"/>
          <w:szCs w:val="18"/>
          <w:lang w:val="pl-PL" w:eastAsia="th-TH"/>
        </w:rPr>
        <w:t xml:space="preserve"> </w:t>
      </w:r>
      <w:r>
        <w:rPr>
          <w:rFonts w:ascii="Calibri" w:hAnsi="Calibri" w:eastAsia="Arial" w:cs="Calibri"/>
          <w:sz w:val="22"/>
          <w:szCs w:val="22"/>
          <w:lang w:eastAsia="en-US"/>
        </w:rPr>
        <w:t xml:space="preserve">Health First Health Plans</w:t>
      </w:r>
      <w:r>
        <w:rPr>
          <w:rFonts w:ascii="Cordia New" w:hAnsi="Cordia New" w:eastAsia="Arial Unicode MS" w:cs="Cordia New"/>
          <w:sz w:val="28"/>
          <w:szCs w:val="28"/>
          <w:cs/>
          <w:lang w:eastAsia="th-TH"/>
        </w:rPr>
        <w:t xml:space="preserve">คุณมีสิทธิที่จะได้รับความช่วยเหลือและข้อมูลในภาษาของคุณได้โดยไม่มีค่าใช้จ่าย </w:t>
      </w:r>
      <w:r>
        <w:rPr>
          <w:rFonts w:ascii="Cordia New" w:hAnsi="Cordia New" w:eastAsia="Arial Unicode MS" w:cs="Cordia New" w:hint="cs"/>
          <w:sz w:val="28"/>
          <w:szCs w:val="28"/>
          <w:cs/>
          <w:lang w:eastAsia="th-TH"/>
        </w:rPr>
        <w:t xml:space="preserve">หากต้องการ</w:t>
      </w:r>
      <w:r>
        <w:rPr>
          <w:rFonts w:ascii="Cordia New" w:hAnsi="Cordia New" w:eastAsia="Arial Unicode MS" w:cs="Cordia New"/>
          <w:sz w:val="28"/>
          <w:szCs w:val="28"/>
          <w:cs/>
          <w:lang w:eastAsia="th-TH"/>
        </w:rPr>
        <w:t xml:space="preserve">พูดคุยกับล่าม </w:t>
      </w:r>
      <w:r>
        <w:rPr>
          <w:rFonts w:ascii="Cordia New" w:hAnsi="Cordia New" w:eastAsia="Arial Unicode MS" w:cs="Cordia New" w:hint="cs"/>
          <w:sz w:val="28"/>
          <w:szCs w:val="28"/>
          <w:cs/>
          <w:lang w:eastAsia="th-TH"/>
        </w:rPr>
        <w:t xml:space="preserve">โปรด</w:t>
      </w:r>
      <w:r>
        <w:rPr>
          <w:rFonts w:ascii="Cordia New" w:hAnsi="Cordia New" w:eastAsia="Arial Unicode MS" w:cs="Cordia New"/>
          <w:sz w:val="28"/>
          <w:szCs w:val="28"/>
          <w:cs/>
          <w:lang w:eastAsia="th-TH"/>
        </w:rPr>
        <w:t xml:space="preserve">โทร</w:t>
      </w:r>
      <w:r>
        <w:rPr>
          <w:rFonts w:ascii="Cordia New" w:hAnsi="Cordia New" w:eastAsia="Arial Unicode MS" w:cs="Cordia New"/>
          <w:sz w:val="18"/>
          <w:szCs w:val="18"/>
          <w:cs/>
          <w:lang w:eastAsia="th-TH"/>
        </w:rPr>
        <w:t xml:space="preserve"> </w:t>
      </w:r>
      <w:r>
        <w:rPr>
          <w:rFonts w:ascii="Cordia New" w:hAnsi="Cordia New" w:eastAsia="Arial Unicode MS" w:cs="Cordia New" w:hint="cs"/>
          <w:sz w:val="18"/>
          <w:szCs w:val="18"/>
          <w:cs/>
          <w:lang w:eastAsia="th-TH"/>
        </w:rPr>
        <w:t xml:space="preserve"> </w:t>
      </w:r>
      <w:r>
        <w:rPr>
          <w:rFonts w:ascii="Calibri" w:hAnsi="Calibri" w:eastAsia="Arial" w:cs="Calibri"/>
          <w:sz w:val="22"/>
          <w:szCs w:val="22"/>
          <w:lang w:eastAsia="en-US"/>
        </w:rPr>
        <w:t xml:space="preserve">855-443- 4735.</w:t>
      </w:r>
    </w:p>
    <w:p>
      <w:pPr>
        <w:pStyle w:val="Normal_06f627c3-da49-4dd1-b2c6-7c005fc0a917"/>
        <w:widowControl w:val="false"/>
        <w:autoSpaceDE w:val="false"/>
        <w:autoSpaceDN w:val="false"/>
        <w:spacing w:before="0" w:after="0" w:line="240" w:lineRule="auto"/>
        <w:rPr>
          <w:rFonts w:ascii="Arial" w:hAnsi="Arial" w:eastAsia="Arial" w:cs="Arial"/>
          <w:sz w:val="22"/>
          <w:szCs w:val="22"/>
          <w:lang w:val="en-US" w:eastAsia="en-US"/>
        </w:rPr>
      </w:pPr>
    </w:p>
    <w:p>
      <w:pPr>
        <w:pStyle w:val="Normal_06f627c3-da49-4dd1-b2c6-7c005fc0a917"/>
        <w:widowControl w:val="false"/>
        <w:autoSpaceDE w:val="false"/>
        <w:autoSpaceDN w:val="false"/>
        <w:spacing w:before="5" w:after="0" w:line="240" w:lineRule="auto"/>
        <w:rPr>
          <w:rFonts w:ascii="Arial" w:hAnsi="Arial" w:eastAsia="Arial" w:cs="Arial"/>
          <w:sz w:val="26"/>
          <w:szCs w:val="22"/>
          <w:lang w:val="en-US" w:eastAsia="en-US"/>
        </w:rPr>
      </w:pPr>
    </w:p>
    <w:p>
      <w:pPr>
        <w:pStyle w:val="Normal_06f627c3-da49-4dd1-b2c6-7c005fc0a917"/>
        <w:widowControl w:val="false"/>
        <w:autoSpaceDE w:val="false"/>
        <w:autoSpaceDN w:val="false"/>
        <w:spacing w:before="0" w:after="0" w:line="276" w:lineRule="auto"/>
        <w:ind w:right="650"/>
        <w:rPr>
          <w:rFonts w:ascii="Arial" w:hAnsi="Arial" w:eastAsia="Arial" w:cs="Arial"/>
          <w:sz w:val="22"/>
          <w:szCs w:val="22"/>
          <w:lang w:val="en-US" w:eastAsia="en-US"/>
        </w:rPr>
      </w:pPr>
      <w:r>
        <w:rPr>
          <w:rFonts w:ascii="Arial" w:hAnsi="Arial" w:eastAsia="Arial" w:cs="Arial"/>
          <w:sz w:val="22"/>
          <w:szCs w:val="22"/>
          <w:lang w:eastAsia="en-US"/>
        </w:rPr>
        <w:t xml:space="preserve">Health First Commercial Plans, Inc. is doing business under the name of Health First Health Plans. Health First Health Plans does not discriminate on the basis of race, color, national origin, disability, age, sex, gender identity, sexual orientation, or health status in the administration of the plan, including enrollment and benefit determinations.</w:t>
      </w:r>
    </w:p>
    <w:p>
      <w:pPr>
        <w:pStyle w:val="Normal_06f627c3-da49-4dd1-b2c6-7c005fc0a917"/>
        <w:widowControl w:val="false"/>
        <w:autoSpaceDE w:val="false"/>
        <w:autoSpaceDN w:val="false"/>
        <w:spacing w:before="200" w:after="0" w:line="240" w:lineRule="auto"/>
        <w:ind w:right="650"/>
        <w:rPr>
          <w:rFonts w:ascii="Arial" w:hAnsi="Arial" w:eastAsia="Arial" w:cs="Arial"/>
          <w:sz w:val="22"/>
          <w:szCs w:val="22"/>
          <w:lang w:val="en-US" w:eastAsia="en-US"/>
        </w:rPr>
      </w:pPr>
      <w:r>
        <w:rPr>
          <w:rFonts w:ascii="Arial" w:hAnsi="Arial" w:eastAsia="Arial" w:cs="Arial"/>
          <w:sz w:val="22"/>
          <w:szCs w:val="22"/>
          <w:lang w:eastAsia="en-US"/>
        </w:rPr>
        <w:t xml:space="preserve">36194-77150_MPINFO109 (08/2016)</w:t>
      </w:r>
    </w:p>
    <w:p>
      <w:pPr>
        <w:pStyle w:val="Normal_06f627c3-da49-4dd1-b2c6-7c005fc0a917"/>
        <w:spacing w:line="240" w:lineRule="auto"/>
        <w:rPr>
          <w:lang w:val="en-US" w:eastAsia="ar-SA"/>
        </w:rPr>
      </w:pPr>
    </w:p>
    <w:sectPr>
      <w:headerReference w:type="even" r:id="rId20"/>
      <w:footerReference w:type="even" r:id="rId21"/>
      <w:headerReference w:type="default" r:id="rId22"/>
      <w:footerReference w:type="default" r:id="rId23"/>
      <w:type w:val="nextPage"/>
      <w:pgSz w:w="12240" w:h="15840"/>
      <w:pgMar w:top="1440" w:right="1440" w:bottom="1440" w:left="1440" w:header="720" w:footer="720" w:gutter="0"/>
      <w:pgBorders/>
      <w:pgNumType w:fmt="decimal"/>
      <w:cols w:num="1" w:equalWidth="1" w:space="720"/>
      <w:docGrid w:linePitch="36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Normal_2e0b130a-34dc-4db4-8933-2ab676268d34"/>
      <w:spacing w:before="0" w:after="0"/>
      <w:ind w:left="0"/>
      <w:jc w:val="left"/>
      <w:rPr/>
    </w:pPr>
  </w:p>
  <w:p>
    <w:pPr>
      <w:pStyle w:val="Normal_2e0b130a-34dc-4db4-8933-2ab676268d34"/>
      <w:spacing w:before="0" w:after="0"/>
      <w:ind w:left="0"/>
      <w:jc w:val="left"/>
      <w:rPr/>
    </w:pPr>
    <w:r>
      <w:rPr/>
      <w:fldChar w:fldCharType="begin"/>
    </w:r>
    <w:r>
      <w:rPr/>
      <w:instrText>PAGE PAGE</w:instrText>
    </w:r>
    <w:r>
      <w:rPr/>
      <w:fldChar w:fldCharType="separate"/>
    </w:r>
    <w:r>
      <w:rPr/>
      <w:t xml:space="preserve">PAGE</w:t>
    </w:r>
    <w:r>
      <w:rPr/>
      <w:fldChar w:fldCharType="end"/>
    </w:r>
  </w:p>
</w:ftr>
</file>

<file path=word/footer10.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pPr w:tblpX="-80" w:tblpY="-240" w:leftFromText="187" w:rightFromText="187" w:vertAnchor="margin" w:horzAnchor="margin" w:tblpXSpec="center" w:tblpYSpec="bottom"/>
      <w:tblW w:w="10864" w:type="dxa"/>
      <w:jc w:val="left"/>
      <w:tblBorders>
        <w:top w:val="single" w:color="auto" w:sz="12" w:space="0"/>
      </w:tblBorders>
      <w:tblLayout w:type="fixed"/>
      <w:tblLook w:val="04A0" w:firstRow="1" w:lastRow="0" w:firstColumn="1" w:lastColumn="0" w:noHBand="0" w:noVBand="1"/>
      <w:tblCaption w:val=""/>
      <w:tblDescription w:val=""/>
    </w:tblPr>
    <w:tblGrid>
      <w:gridCol w:w="4295"/>
      <w:gridCol w:w="5392"/>
      <w:gridCol w:w="1177"/>
    </w:tblGrid>
    <w:tr>
      <w:trPr>
        <w:trHeight w:val="113" w:hRule="atLeast"/>
        <w:jc w:val="left"/>
      </w:trPr>
      <w:tc>
        <w:tcPr>
          <w:tcW w:type="dxa" w:w="4295"/>
          <w:tcBorders/>
          <w:tcMar>
            <w:left w:w="29" w:type="dxa"/>
            <w:right w:w="29" w:type="dxa"/>
          </w:tcMar>
          <w:vAlign w:val="bottom"/>
        </w:tcPr>
        <w:p>
          <w:pPr>
            <w:pStyle w:val="Normal_425cd869-61f7-4de2-8404-e442d7ffba9a"/>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92"/>
          <w:tcBorders/>
          <w:tcMar>
            <w:left w:w="29" w:type="dxa"/>
            <w:right w:w="29" w:type="dxa"/>
          </w:tcMar>
          <w:vAlign w:val="bottom"/>
        </w:tcPr>
        <w:p>
          <w:pPr>
            <w:pStyle w:val="Footer"/>
            <w:tabs>
              <w:tab w:val="right" w:pos="9622"/>
              <w:tab w:val="clear" w:pos="4320"/>
              <w:tab w:val="clear" w:pos="8640"/>
            </w:tabs>
            <w:spacing w:before="40" w:after="0" w:line="240" w:lineRule="auto"/>
            <w:ind w:right="-3172"/>
            <w:rPr>
              <w:rFonts w:ascii="Arial" w:hAnsi="Arial" w:eastAsia="Arial" w:cs="Arial"/>
              <w:sz w:val="22"/>
              <w:szCs w:val="22"/>
              <w:lang w:val="en-US" w:eastAsia="ar-SA"/>
            </w:rPr>
          </w:pPr>
        </w:p>
      </w:tc>
      <w:tc>
        <w:tcPr>
          <w:tcW w:type="dxa" w:w="1177"/>
          <w:tcBorders/>
          <w:vAlign w:val="bottom"/>
        </w:tcPr>
        <w:p>
          <w:pPr>
            <w:pStyle w:val="Footer"/>
            <w:spacing w:before="40" w:after="0" w:line="240" w:lineRule="auto"/>
            <w:jc w:val="right"/>
            <w:rPr>
              <w:rFonts w:ascii="Arial" w:hAnsi="Arial" w:eastAsia="Arial" w:cs="Arial"/>
              <w:sz w:val="22"/>
              <w:szCs w:val="22"/>
              <w:lang w:val="en-US" w:eastAsia="ar-SA"/>
            </w:rPr>
          </w:pPr>
          <w:bookmarkStart w:id="2" w:name="_GoBack"/>
          <w:bookmarkEnd w:id="2"/>
        </w:p>
      </w:tc>
    </w:tr>
  </w:tbl>
  <w:p>
    <w:pPr>
      <w:pStyle w:val="Footer"/>
      <w:spacing w:line="240" w:lineRule="auto"/>
      <w:rPr>
        <w:lang w:val="en-US" w:eastAsia="ar-SA"/>
      </w:rPr>
    </w:pPr>
  </w:p>
</w:ftr>
</file>

<file path=word/footer1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pPr w:tblpX="-80" w:tblpY="-240" w:leftFromText="187" w:rightFromText="187" w:vertAnchor="margin" w:horzAnchor="margin" w:tblpXSpec="center" w:tblpYSpec="bottom"/>
      <w:jc w:val="left"/>
      <w:tblBorders>
        <w:top w:val="single" w:color="auto" w:sz="12" w:space="0"/>
      </w:tblBorders>
      <w:tblLayout w:type="fixed"/>
      <w:tblLook w:val="04A0" w:firstRow="1" w:lastRow="0" w:firstColumn="1" w:lastColumn="0" w:noHBand="0" w:noVBand="1"/>
      <w:tblCaption w:val=""/>
      <w:tblDescription w:val=""/>
    </w:tblPr>
    <w:tblGrid>
      <w:gridCol w:w="4230"/>
      <w:gridCol w:w="5310"/>
      <w:gridCol w:w="1160"/>
    </w:tblGrid>
    <w:tr>
      <w:trPr>
        <w:trHeight w:val="47" w:hRule="atLeast"/>
        <w:jc w:val="left"/>
      </w:trPr>
      <w:tc>
        <w:tcPr>
          <w:tcW w:type="dxa" w:w="4230"/>
          <w:tcBorders>
            <w:top w:val="single" w:color="auto" w:sz="12" w:space="0"/>
            <w:left w:val="nil"/>
            <w:bottom w:val="nil"/>
            <w:right w:val="nil"/>
          </w:tcBorders>
          <w:tcMar>
            <w:top w:w="0" w:type="dxa"/>
            <w:left w:w="29" w:type="dxa"/>
            <w:bottom w:w="0" w:type="dxa"/>
            <w:right w:w="29" w:type="dxa"/>
          </w:tcMar>
          <w:vAlign w:val="bottom"/>
          <w:hideMark xmlns:w="http://schemas.openxmlformats.org/wordprocessingml/2006/main"/>
        </w:tcPr>
        <w:p>
          <w:pPr>
            <w:pStyle w:val="Normal_66aeea3a-c70d-4cf8-9bad-5448b75b89f3"/>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10"/>
          <w:tcBorders>
            <w:top w:val="single" w:color="auto" w:sz="12" w:space="0"/>
            <w:left w:val="nil"/>
            <w:bottom w:val="nil"/>
            <w:right w:val="nil"/>
          </w:tcBorders>
          <w:tcMar>
            <w:top w:w="0" w:type="dxa"/>
            <w:left w:w="29" w:type="dxa"/>
            <w:bottom w:w="0" w:type="dxa"/>
            <w:right w:w="29" w:type="dxa"/>
          </w:tcMar>
          <w:vAlign w:val="bottom"/>
          <w:hideMark xmlns:w="http://schemas.openxmlformats.org/wordprocessingml/2006/main"/>
        </w:tcPr>
        <w:p>
          <w:pPr>
            <w:pStyle w:val="Footer_4843770c-3338-4b37-aa30-890f897d1a5a"/>
            <w:tabs>
              <w:tab w:val="right" w:pos="9622"/>
              <w:tab w:val="clear" w:pos="4320"/>
              <w:tab w:val="clear" w:pos="8640"/>
            </w:tabs>
            <w:spacing w:before="40" w:after="0" w:line="240" w:lineRule="auto"/>
            <w:ind w:right="-3172"/>
            <w:rPr>
              <w:rFonts w:ascii="Arial" w:hAnsi="Arial" w:eastAsia="Arial" w:cs="Arial"/>
              <w:sz w:val="22"/>
              <w:szCs w:val="22"/>
              <w:lang w:val="en-US" w:eastAsia="ar-SA"/>
            </w:rPr>
          </w:pPr>
          <w:r>
            <w:rPr>
              <w:rFonts w:ascii="Arial" w:hAnsi="Arial" w:eastAsia="Arial" w:cs="Arial"/>
              <w:sz w:val="22"/>
              <w:szCs w:val="22"/>
            </w:rPr>
            <w:t xml:space="preserve">2020 Commercial Metal 5-Tier Formulary, Version 2</w:t>
          </w:r>
        </w:p>
      </w:tc>
      <w:tc>
        <w:tcPr>
          <w:tcW w:type="dxa" w:w="1160"/>
          <w:tcBorders>
            <w:top w:val="single" w:color="auto" w:sz="12" w:space="0"/>
            <w:left w:val="nil"/>
            <w:bottom w:val="nil"/>
            <w:right w:val="nil"/>
          </w:tcBorders>
          <w:vAlign w:val="bottom"/>
          <w:hideMark xmlns:w="http://schemas.openxmlformats.org/wordprocessingml/2006/main"/>
        </w:tcPr>
        <w:p>
          <w:pPr>
            <w:pStyle w:val="Footer_4843770c-3338-4b37-aa30-890f897d1a5a"/>
            <w:spacing w:before="40" w:after="0" w:line="240" w:lineRule="auto"/>
            <w:jc w:val="right"/>
            <w:rPr>
              <w:rFonts w:ascii="Arial" w:hAnsi="Arial" w:eastAsia="Arial" w:cs="Arial"/>
              <w:sz w:val="22"/>
              <w:szCs w:val="22"/>
              <w:lang w:val="en-US" w:eastAsia="ar-SA"/>
            </w:rPr>
          </w:pPr>
          <w:r>
            <w:rPr>
              <w:rFonts w:ascii="Arial" w:hAnsi="Arial" w:eastAsia="Arial" w:cs="Arial"/>
              <w:sz w:val="22"/>
              <w:szCs w:val="22"/>
            </w:rPr>
            <w:t xml:space="preserve">Page </w:t>
          </w:r>
          <w:r>
            <w:rPr>
              <w:rFonts w:ascii="Arial" w:hAnsi="Arial" w:eastAsia="Arial" w:cs="Arial"/>
              <w:sz w:val="22"/>
              <w:szCs w:val="22"/>
            </w:rPr>
            <w:fldChar w:fldCharType="begin"/>
          </w:r>
          <w:r>
            <w:rPr>
              <w:rFonts w:ascii="Arial" w:hAnsi="Arial" w:eastAsia="Arial" w:cs="Arial"/>
              <w:sz w:val="22"/>
              <w:szCs w:val="22"/>
            </w:rPr>
            <w:instrText>PAGE   \* MERGEFORMAT</w:instrText>
          </w:r>
          <w:r>
            <w:rPr>
              <w:rFonts w:ascii="Arial" w:hAnsi="Arial" w:eastAsia="Arial" w:cs="Arial"/>
              <w:sz w:val="22"/>
              <w:szCs w:val="22"/>
            </w:rPr>
            <w:fldChar w:fldCharType="separate"/>
          </w:r>
          <w:r>
            <w:rPr>
              <w:rFonts w:ascii="Arial" w:hAnsi="Arial" w:eastAsia="Arial" w:cs="Arial"/>
              <w:noProof/>
              <w:sz w:val="22"/>
              <w:szCs w:val="22"/>
            </w:rPr>
            <w:t xml:space="preserve">162</w:t>
          </w:r>
          <w:r>
            <w:rPr>
              <w:rFonts w:ascii="Arial" w:hAnsi="Arial" w:eastAsia="Arial" w:cs="Arial"/>
              <w:sz w:val="22"/>
              <w:szCs w:val="22"/>
            </w:rPr>
            <w:fldChar w:fldCharType="end"/>
          </w:r>
        </w:p>
      </w:tc>
    </w:tr>
  </w:tbl>
  <w:p>
    <w:pPr>
      <w:pStyle w:val="Normal_724f970e-aa61-4491-910f-380fc47f419f"/>
      <w:spacing w:line="240" w:lineRule="auto"/>
      <w:rPr>
        <w:lang w:val="en-US" w:eastAsia="ar-SA"/>
      </w:rPr>
    </w:pPr>
  </w:p>
</w:ftr>
</file>

<file path=word/footer19.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Normal_0ef58f6d-ed81-432b-8d3a-8011908c189f"/>
      <w:spacing w:line="240" w:lineRule="auto"/>
      <w:rPr>
        <w:lang w:val="en-US" w:eastAsia="ar-SA"/>
      </w:rPr>
    </w:pPr>
  </w:p>
  <w:tbl>
    <w:tblPr>
      <w:tblpPr w:tblpX="-80" w:tblpY="-240" w:leftFromText="187" w:rightFromText="187" w:vertAnchor="margin" w:horzAnchor="margin" w:tblpXSpec="center" w:tblpYSpec="bottom"/>
      <w:tblW w:w="10864" w:type="dxa"/>
      <w:jc w:val="left"/>
      <w:tblBorders>
        <w:top w:val="single" w:color="auto" w:sz="12" w:space="0"/>
      </w:tblBorders>
      <w:tblLayout w:type="fixed"/>
      <w:tblLook w:val="04A0" w:firstRow="1" w:lastRow="0" w:firstColumn="1" w:lastColumn="0" w:noHBand="0" w:noVBand="1"/>
      <w:tblCaption w:val=""/>
      <w:tblDescription w:val=""/>
    </w:tblPr>
    <w:tblGrid>
      <w:gridCol w:w="4295"/>
      <w:gridCol w:w="5392"/>
      <w:gridCol w:w="1177"/>
    </w:tblGrid>
    <w:tr>
      <w:trPr>
        <w:trHeight w:val="113" w:hRule="atLeast"/>
        <w:jc w:val="left"/>
      </w:trPr>
      <w:tc>
        <w:tcPr>
          <w:tcW w:type="dxa" w:w="4295"/>
          <w:tcBorders/>
          <w:tcMar>
            <w:left w:w="29" w:type="dxa"/>
            <w:right w:w="29" w:type="dxa"/>
          </w:tcMar>
          <w:vAlign w:val="bottom"/>
        </w:tcPr>
        <w:p>
          <w:pPr>
            <w:pStyle w:val="Normal_66aeea3a-c70d-4cf8-9bad-5448b75b89f3"/>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92"/>
          <w:tcBorders/>
          <w:tcMar>
            <w:left w:w="29" w:type="dxa"/>
            <w:right w:w="29" w:type="dxa"/>
          </w:tcMar>
          <w:vAlign w:val="bottom"/>
        </w:tcPr>
        <w:p>
          <w:pPr>
            <w:pStyle w:val="Footer_4843770c-3338-4b37-aa30-890f897d1a5a"/>
            <w:tabs>
              <w:tab w:val="right" w:pos="9622"/>
              <w:tab w:val="clear" w:pos="4320"/>
              <w:tab w:val="clear" w:pos="8640"/>
            </w:tabs>
            <w:spacing w:before="40" w:after="0" w:line="240" w:lineRule="auto"/>
            <w:ind w:right="-3172"/>
            <w:rPr>
              <w:rFonts w:ascii="Arial" w:hAnsi="Arial" w:eastAsia="Arial" w:cs="Arial"/>
              <w:sz w:val="22"/>
              <w:szCs w:val="22"/>
              <w:lang w:val="en-US" w:eastAsia="ar-SA"/>
            </w:rPr>
          </w:pPr>
        </w:p>
      </w:tc>
      <w:tc>
        <w:tcPr>
          <w:tcW w:type="dxa" w:w="1177"/>
          <w:tcBorders/>
          <w:vAlign w:val="bottom"/>
        </w:tcPr>
        <w:p>
          <w:pPr>
            <w:pStyle w:val="Footer_4843770c-3338-4b37-aa30-890f897d1a5a"/>
            <w:spacing w:before="40" w:after="0" w:line="240" w:lineRule="auto"/>
            <w:jc w:val="right"/>
            <w:rPr>
              <w:rFonts w:ascii="Arial" w:hAnsi="Arial" w:eastAsia="Arial" w:cs="Arial"/>
              <w:sz w:val="22"/>
              <w:szCs w:val="22"/>
              <w:lang w:val="en-US" w:eastAsia="ar-SA"/>
            </w:rPr>
          </w:pPr>
        </w:p>
      </w:tc>
    </w:tr>
  </w:tbl>
  <w:p>
    <w:pPr>
      <w:pStyle w:val="Footer_4843770c-3338-4b37-aa30-890f897d1a5a"/>
      <w:spacing w:line="240" w:lineRule="auto"/>
      <w:rPr>
        <w:lang w:val="en-US" w:eastAsia="ar-SA"/>
      </w:rPr>
    </w:pPr>
  </w:p>
  <w:tbl>
    <w:tblPr>
      <w:tblpPr w:tblpX="-80" w:tblpY="-240" w:leftFromText="187" w:rightFromText="187" w:vertAnchor="margin" w:horzAnchor="margin" w:tblpXSpec="center" w:tblpYSpec="bottom"/>
      <w:tblW w:w="10864" w:type="dxa"/>
      <w:jc w:val="left"/>
      <w:tblBorders>
        <w:top w:val="single" w:color="auto" w:sz="12" w:space="0"/>
      </w:tblBorders>
      <w:tblLayout w:type="fixed"/>
      <w:tblLook w:val="04A0" w:firstRow="1" w:lastRow="0" w:firstColumn="1" w:lastColumn="0" w:noHBand="0" w:noVBand="1"/>
      <w:tblCaption w:val=""/>
      <w:tblDescription w:val=""/>
    </w:tblPr>
    <w:tblGrid>
      <w:gridCol w:w="4295"/>
      <w:gridCol w:w="5392"/>
      <w:gridCol w:w="1177"/>
    </w:tblGrid>
    <w:tr>
      <w:trPr>
        <w:trHeight w:val="113" w:hRule="atLeast"/>
        <w:jc w:val="left"/>
      </w:trPr>
      <w:tc>
        <w:tcPr>
          <w:tcW w:type="dxa" w:w="4295"/>
          <w:tcBorders/>
          <w:tcMar>
            <w:left w:w="29" w:type="dxa"/>
            <w:right w:w="29" w:type="dxa"/>
          </w:tcMar>
          <w:vAlign w:val="bottom"/>
        </w:tcPr>
        <w:p>
          <w:pPr>
            <w:pStyle w:val="Normal_66aeea3a-c70d-4cf8-9bad-5448b75b89f3"/>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92"/>
          <w:tcBorders/>
          <w:tcMar>
            <w:left w:w="29" w:type="dxa"/>
            <w:right w:w="29" w:type="dxa"/>
          </w:tcMar>
          <w:vAlign w:val="bottom"/>
        </w:tcPr>
        <w:p>
          <w:pPr>
            <w:pStyle w:val="Footer_4843770c-3338-4b37-aa30-890f897d1a5a"/>
            <w:tabs>
              <w:tab w:val="right" w:pos="9622"/>
              <w:tab w:val="clear" w:pos="4320"/>
              <w:tab w:val="clear" w:pos="8640"/>
            </w:tabs>
            <w:spacing w:before="40" w:after="0" w:line="240" w:lineRule="auto"/>
            <w:ind w:right="-3172"/>
            <w:rPr>
              <w:rFonts w:ascii="Arial" w:hAnsi="Arial" w:eastAsia="Arial" w:cs="Arial"/>
              <w:sz w:val="22"/>
              <w:szCs w:val="22"/>
              <w:lang w:val="en-US" w:eastAsia="ar-SA"/>
            </w:rPr>
          </w:pPr>
        </w:p>
      </w:tc>
      <w:tc>
        <w:tcPr>
          <w:tcW w:type="dxa" w:w="1177"/>
          <w:tcBorders/>
          <w:vAlign w:val="bottom"/>
        </w:tcPr>
        <w:p>
          <w:pPr>
            <w:pStyle w:val="Footer_4843770c-3338-4b37-aa30-890f897d1a5a"/>
            <w:spacing w:before="40" w:after="0" w:line="240" w:lineRule="auto"/>
            <w:jc w:val="right"/>
            <w:rPr>
              <w:rFonts w:ascii="Arial" w:hAnsi="Arial" w:eastAsia="Arial" w:cs="Arial"/>
              <w:sz w:val="22"/>
              <w:szCs w:val="22"/>
              <w:lang w:val="en-US" w:eastAsia="ar-SA"/>
            </w:rPr>
          </w:pPr>
        </w:p>
      </w:tc>
    </w:tr>
  </w:tbl>
  <w:p>
    <w:pPr>
      <w:pStyle w:val="Footer_4843770c-3338-4b37-aa30-890f897d1a5a"/>
      <w:spacing w:line="240" w:lineRule="auto"/>
      <w:rPr>
        <w:lang w:val="en-US" w:eastAsia="ar-SA"/>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Normal_2e0b130a-34dc-4db4-8933-2ab676268d34"/>
      <w:spacing w:before="0" w:after="0"/>
      <w:ind w:left="0"/>
      <w:jc w:val="left"/>
      <w:rPr/>
    </w:pPr>
  </w:p>
  <w:p>
    <w:pPr>
      <w:pStyle w:val="Normal_2e0b130a-34dc-4db4-8933-2ab676268d34"/>
      <w:spacing w:before="0" w:after="0"/>
      <w:ind w:left="0"/>
      <w:jc w:val="right"/>
      <w:rPr/>
    </w:pPr>
    <w:r>
      <w:rPr/>
      <w:fldChar w:fldCharType="begin"/>
    </w:r>
    <w:r>
      <w:rPr/>
      <w:instrText>PAGE PAGE</w:instrText>
    </w:r>
    <w:r>
      <w:rPr/>
      <w:fldChar w:fldCharType="separate"/>
    </w:r>
    <w:r>
      <w:rPr/>
      <w:t xml:space="preserve">PAGE</w:t>
    </w:r>
    <w:r>
      <w:rPr/>
      <w:fldChar w:fldCharType="end"/>
    </w:r>
  </w:p>
</w:ftr>
</file>

<file path=word/footer2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pPr w:tblpX="-80" w:tblpY="-240" w:leftFromText="187" w:rightFromText="187" w:vertAnchor="margin" w:horzAnchor="margin" w:tblpXSpec="center" w:tblpYSpec="bottom"/>
      <w:jc w:val="left"/>
      <w:tblBorders>
        <w:top w:val="single" w:color="auto" w:sz="12" w:space="0"/>
      </w:tblBorders>
      <w:tblLayout w:type="fixed"/>
      <w:tblLook w:val="04A0" w:firstRow="1" w:lastRow="0" w:firstColumn="1" w:lastColumn="0" w:noHBand="0" w:noVBand="1"/>
      <w:tblCaption w:val=""/>
      <w:tblDescription w:val=""/>
    </w:tblPr>
    <w:tblGrid>
      <w:gridCol w:w="4230"/>
      <w:gridCol w:w="5310"/>
      <w:gridCol w:w="1160"/>
    </w:tblGrid>
    <w:tr>
      <w:trPr>
        <w:trHeight w:val="47" w:hRule="atLeast"/>
        <w:jc w:val="left"/>
      </w:trPr>
      <w:tc>
        <w:tcPr>
          <w:tcW w:type="dxa" w:w="4230"/>
          <w:tcBorders>
            <w:top w:val="single" w:color="auto" w:sz="12" w:space="0"/>
            <w:left w:val="nil"/>
            <w:bottom w:val="nil"/>
            <w:right w:val="nil"/>
          </w:tcBorders>
          <w:tcMar>
            <w:top w:w="0" w:type="dxa"/>
            <w:left w:w="29" w:type="dxa"/>
            <w:bottom w:w="0" w:type="dxa"/>
            <w:right w:w="29" w:type="dxa"/>
          </w:tcMar>
          <w:vAlign w:val="bottom"/>
          <w:hideMark xmlns:w="http://schemas.openxmlformats.org/wordprocessingml/2006/main"/>
        </w:tcPr>
        <w:p>
          <w:pPr>
            <w:pStyle w:val="Normal_a2b7a1d6-9b28-4fcc-9f57-6db23be74faf"/>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10"/>
          <w:tcBorders>
            <w:top w:val="single" w:color="auto" w:sz="12" w:space="0"/>
            <w:left w:val="nil"/>
            <w:bottom w:val="nil"/>
            <w:right w:val="nil"/>
          </w:tcBorders>
          <w:tcMar>
            <w:top w:w="0" w:type="dxa"/>
            <w:left w:w="29" w:type="dxa"/>
            <w:bottom w:w="0" w:type="dxa"/>
            <w:right w:w="29" w:type="dxa"/>
          </w:tcMar>
          <w:vAlign w:val="bottom"/>
          <w:hideMark xmlns:w="http://schemas.openxmlformats.org/wordprocessingml/2006/main"/>
        </w:tcPr>
        <w:p>
          <w:pPr>
            <w:pStyle w:val="Footer_0b55ff86-8e28-4b7d-a129-68fc5eccdb33"/>
            <w:tabs>
              <w:tab w:val="right" w:pos="9622"/>
              <w:tab w:val="clear" w:pos="4320"/>
              <w:tab w:val="clear" w:pos="8640"/>
            </w:tabs>
            <w:spacing w:before="40" w:after="0" w:line="240" w:lineRule="auto"/>
            <w:ind w:right="-3172"/>
            <w:rPr>
              <w:rFonts w:ascii="Arial" w:hAnsi="Arial" w:eastAsia="Arial" w:cs="Arial"/>
              <w:sz w:val="22"/>
              <w:szCs w:val="22"/>
              <w:lang w:val="en-US" w:eastAsia="ar-SA"/>
            </w:rPr>
          </w:pPr>
          <w:r>
            <w:rPr>
              <w:rFonts w:ascii="Arial" w:hAnsi="Arial" w:eastAsia="Arial" w:cs="Arial"/>
              <w:sz w:val="22"/>
              <w:szCs w:val="22"/>
            </w:rPr>
            <w:t xml:space="preserve">2020 Commercial Metal 5-Tier Formulary, Version 2</w:t>
          </w:r>
        </w:p>
      </w:tc>
      <w:tc>
        <w:tcPr>
          <w:tcW w:type="dxa" w:w="1160"/>
          <w:tcBorders>
            <w:top w:val="single" w:color="auto" w:sz="12" w:space="0"/>
            <w:left w:val="nil"/>
            <w:bottom w:val="nil"/>
            <w:right w:val="nil"/>
          </w:tcBorders>
          <w:vAlign w:val="bottom"/>
          <w:hideMark xmlns:w="http://schemas.openxmlformats.org/wordprocessingml/2006/main"/>
        </w:tcPr>
        <w:p>
          <w:pPr>
            <w:pStyle w:val="Footer_0b55ff86-8e28-4b7d-a129-68fc5eccdb33"/>
            <w:spacing w:before="40" w:after="0" w:line="240" w:lineRule="auto"/>
            <w:jc w:val="right"/>
            <w:rPr>
              <w:rFonts w:ascii="Arial" w:hAnsi="Arial" w:eastAsia="Arial" w:cs="Arial"/>
              <w:sz w:val="22"/>
              <w:szCs w:val="22"/>
              <w:lang w:val="en-US" w:eastAsia="ar-SA"/>
            </w:rPr>
          </w:pPr>
          <w:r>
            <w:rPr>
              <w:rFonts w:ascii="Arial" w:hAnsi="Arial" w:eastAsia="Arial" w:cs="Arial"/>
              <w:sz w:val="22"/>
              <w:szCs w:val="22"/>
            </w:rPr>
            <w:t xml:space="preserve">Page </w:t>
          </w:r>
          <w:r>
            <w:rPr>
              <w:rFonts w:ascii="Arial" w:hAnsi="Arial" w:eastAsia="Arial" w:cs="Arial"/>
              <w:sz w:val="22"/>
              <w:szCs w:val="22"/>
            </w:rPr>
            <w:fldChar w:fldCharType="begin"/>
          </w:r>
          <w:r>
            <w:rPr>
              <w:rFonts w:ascii="Arial" w:hAnsi="Arial" w:eastAsia="Arial" w:cs="Arial"/>
              <w:sz w:val="22"/>
              <w:szCs w:val="22"/>
            </w:rPr>
            <w:instrText>PAGE   \* MERGEFORMAT</w:instrText>
          </w:r>
          <w:r>
            <w:rPr>
              <w:rFonts w:ascii="Arial" w:hAnsi="Arial" w:eastAsia="Arial" w:cs="Arial"/>
              <w:sz w:val="22"/>
              <w:szCs w:val="22"/>
            </w:rPr>
            <w:fldChar w:fldCharType="separate"/>
          </w:r>
          <w:r>
            <w:rPr>
              <w:rFonts w:ascii="Arial" w:hAnsi="Arial" w:eastAsia="Arial" w:cs="Arial"/>
              <w:noProof/>
              <w:sz w:val="22"/>
              <w:szCs w:val="22"/>
            </w:rPr>
            <w:t xml:space="preserve">162</w:t>
          </w:r>
          <w:r>
            <w:rPr>
              <w:rFonts w:ascii="Arial" w:hAnsi="Arial" w:eastAsia="Arial" w:cs="Arial"/>
              <w:sz w:val="22"/>
              <w:szCs w:val="22"/>
            </w:rPr>
            <w:fldChar w:fldCharType="end"/>
          </w:r>
        </w:p>
      </w:tc>
    </w:tr>
  </w:tbl>
  <w:p>
    <w:pPr>
      <w:pStyle w:val="Normal_78e06385-8946-4894-85c6-b02b86abb408"/>
      <w:spacing w:line="240" w:lineRule="auto"/>
      <w:rPr>
        <w:lang w:val="en-US" w:eastAsia="ar-SA"/>
      </w:rPr>
    </w:pPr>
  </w:p>
</w:ftr>
</file>

<file path=word/footer2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Normal_ff6d7262-5154-498a-b6f3-753cbea5c176"/>
      <w:spacing w:line="240" w:lineRule="auto"/>
      <w:rPr>
        <w:lang w:val="en-US" w:eastAsia="ar-SA"/>
      </w:rPr>
    </w:pPr>
  </w:p>
  <w:tbl>
    <w:tblPr>
      <w:tblpPr w:tblpX="-80" w:tblpY="-240" w:leftFromText="187" w:rightFromText="187" w:vertAnchor="margin" w:horzAnchor="margin" w:tblpXSpec="center" w:tblpYSpec="bottom"/>
      <w:tblW w:w="10864" w:type="dxa"/>
      <w:jc w:val="left"/>
      <w:tblBorders>
        <w:top w:val="single" w:color="auto" w:sz="12" w:space="0"/>
      </w:tblBorders>
      <w:tblLayout w:type="fixed"/>
      <w:tblLook w:val="04A0" w:firstRow="1" w:lastRow="0" w:firstColumn="1" w:lastColumn="0" w:noHBand="0" w:noVBand="1"/>
      <w:tblCaption w:val=""/>
      <w:tblDescription w:val=""/>
    </w:tblPr>
    <w:tblGrid>
      <w:gridCol w:w="4295"/>
      <w:gridCol w:w="5392"/>
      <w:gridCol w:w="1177"/>
    </w:tblGrid>
    <w:tr>
      <w:trPr>
        <w:trHeight w:val="113" w:hRule="atLeast"/>
        <w:jc w:val="left"/>
      </w:trPr>
      <w:tc>
        <w:tcPr>
          <w:tcW w:type="dxa" w:w="4295"/>
          <w:tcBorders/>
          <w:tcMar>
            <w:left w:w="29" w:type="dxa"/>
            <w:right w:w="29" w:type="dxa"/>
          </w:tcMar>
          <w:vAlign w:val="bottom"/>
        </w:tcPr>
        <w:p>
          <w:pPr>
            <w:pStyle w:val="Normal_a2b7a1d6-9b28-4fcc-9f57-6db23be74faf"/>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92"/>
          <w:tcBorders/>
          <w:tcMar>
            <w:left w:w="29" w:type="dxa"/>
            <w:right w:w="29" w:type="dxa"/>
          </w:tcMar>
          <w:vAlign w:val="bottom"/>
        </w:tcPr>
        <w:p>
          <w:pPr>
            <w:pStyle w:val="Footer_0b55ff86-8e28-4b7d-a129-68fc5eccdb33"/>
            <w:tabs>
              <w:tab w:val="right" w:pos="9622"/>
              <w:tab w:val="clear" w:pos="4320"/>
              <w:tab w:val="clear" w:pos="8640"/>
            </w:tabs>
            <w:spacing w:before="40" w:after="0" w:line="240" w:lineRule="auto"/>
            <w:ind w:right="-3172"/>
            <w:rPr>
              <w:rFonts w:ascii="Arial" w:hAnsi="Arial" w:eastAsia="Arial" w:cs="Arial"/>
              <w:sz w:val="22"/>
              <w:szCs w:val="22"/>
              <w:lang w:val="en-US" w:eastAsia="ar-SA"/>
            </w:rPr>
          </w:pPr>
        </w:p>
      </w:tc>
      <w:tc>
        <w:tcPr>
          <w:tcW w:type="dxa" w:w="1177"/>
          <w:tcBorders/>
          <w:vAlign w:val="bottom"/>
        </w:tcPr>
        <w:p>
          <w:pPr>
            <w:pStyle w:val="Footer_0b55ff86-8e28-4b7d-a129-68fc5eccdb33"/>
            <w:spacing w:before="40" w:after="0" w:line="240" w:lineRule="auto"/>
            <w:jc w:val="right"/>
            <w:rPr>
              <w:rFonts w:ascii="Arial" w:hAnsi="Arial" w:eastAsia="Arial" w:cs="Arial"/>
              <w:sz w:val="22"/>
              <w:szCs w:val="22"/>
              <w:lang w:val="en-US" w:eastAsia="ar-SA"/>
            </w:rPr>
          </w:pPr>
        </w:p>
      </w:tc>
    </w:tr>
  </w:tbl>
  <w:p>
    <w:pPr>
      <w:pStyle w:val="Footer_0b55ff86-8e28-4b7d-a129-68fc5eccdb33"/>
      <w:spacing w:line="240" w:lineRule="auto"/>
      <w:rPr>
        <w:lang w:val="en-US" w:eastAsia="ar-SA"/>
      </w:rPr>
    </w:pPr>
  </w:p>
  <w:tbl>
    <w:tblPr>
      <w:tblpPr w:tblpX="-80" w:tblpY="-240" w:leftFromText="187" w:rightFromText="187" w:vertAnchor="margin" w:horzAnchor="margin" w:tblpXSpec="center" w:tblpYSpec="bottom"/>
      <w:tblW w:w="10864" w:type="dxa"/>
      <w:jc w:val="left"/>
      <w:tblBorders>
        <w:top w:val="single" w:color="auto" w:sz="12" w:space="0"/>
      </w:tblBorders>
      <w:tblLayout w:type="fixed"/>
      <w:tblLook w:val="04A0" w:firstRow="1" w:lastRow="0" w:firstColumn="1" w:lastColumn="0" w:noHBand="0" w:noVBand="1"/>
      <w:tblCaption w:val=""/>
      <w:tblDescription w:val=""/>
    </w:tblPr>
    <w:tblGrid>
      <w:gridCol w:w="4295"/>
      <w:gridCol w:w="5392"/>
      <w:gridCol w:w="1177"/>
    </w:tblGrid>
    <w:tr>
      <w:trPr>
        <w:trHeight w:val="113" w:hRule="atLeast"/>
        <w:jc w:val="left"/>
      </w:trPr>
      <w:tc>
        <w:tcPr>
          <w:tcW w:type="dxa" w:w="4295"/>
          <w:tcBorders/>
          <w:tcMar>
            <w:left w:w="29" w:type="dxa"/>
            <w:right w:w="29" w:type="dxa"/>
          </w:tcMar>
          <w:vAlign w:val="bottom"/>
        </w:tcPr>
        <w:p>
          <w:pPr>
            <w:pStyle w:val="Normal_a2b7a1d6-9b28-4fcc-9f57-6db23be74faf"/>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92"/>
          <w:tcBorders/>
          <w:tcMar>
            <w:left w:w="29" w:type="dxa"/>
            <w:right w:w="29" w:type="dxa"/>
          </w:tcMar>
          <w:vAlign w:val="bottom"/>
        </w:tcPr>
        <w:p>
          <w:pPr>
            <w:pStyle w:val="Footer_0b55ff86-8e28-4b7d-a129-68fc5eccdb33"/>
            <w:tabs>
              <w:tab w:val="right" w:pos="9622"/>
              <w:tab w:val="clear" w:pos="4320"/>
              <w:tab w:val="clear" w:pos="8640"/>
            </w:tabs>
            <w:spacing w:before="40" w:after="0" w:line="240" w:lineRule="auto"/>
            <w:ind w:right="-3172"/>
            <w:rPr>
              <w:rFonts w:ascii="Arial" w:hAnsi="Arial" w:eastAsia="Arial" w:cs="Arial"/>
              <w:sz w:val="22"/>
              <w:szCs w:val="22"/>
              <w:lang w:val="en-US" w:eastAsia="ar-SA"/>
            </w:rPr>
          </w:pPr>
        </w:p>
      </w:tc>
      <w:tc>
        <w:tcPr>
          <w:tcW w:type="dxa" w:w="1177"/>
          <w:tcBorders/>
          <w:vAlign w:val="bottom"/>
        </w:tcPr>
        <w:p>
          <w:pPr>
            <w:pStyle w:val="Footer_0b55ff86-8e28-4b7d-a129-68fc5eccdb33"/>
            <w:spacing w:before="40" w:after="0" w:line="240" w:lineRule="auto"/>
            <w:jc w:val="right"/>
            <w:rPr>
              <w:rFonts w:ascii="Arial" w:hAnsi="Arial" w:eastAsia="Arial" w:cs="Arial"/>
              <w:sz w:val="22"/>
              <w:szCs w:val="22"/>
              <w:lang w:val="en-US" w:eastAsia="ar-SA"/>
            </w:rPr>
          </w:pPr>
        </w:p>
      </w:tc>
    </w:tr>
  </w:tbl>
  <w:p>
    <w:pPr>
      <w:pStyle w:val="Footer_0b55ff86-8e28-4b7d-a129-68fc5eccdb33"/>
      <w:spacing w:line="240" w:lineRule="auto"/>
      <w:rPr>
        <w:lang w:val="en-US" w:eastAsia="ar-SA"/>
      </w:rPr>
    </w:pPr>
  </w:p>
  <w:p>
    <w:pPr>
      <w:pStyle w:val="Normal_ff6d7262-5154-498a-b6f3-753cbea5c176"/>
      <w:spacing w:line="240" w:lineRule="auto"/>
      <w:rPr>
        <w:lang w:val="en-US" w:eastAsia="ar-SA"/>
      </w:rPr>
    </w:pPr>
  </w:p>
  <w:tbl>
    <w:tblPr>
      <w:tblpPr w:tblpX="-80" w:tblpY="-240" w:leftFromText="187" w:rightFromText="187" w:vertAnchor="margin" w:horzAnchor="margin" w:tblpXSpec="center" w:tblpYSpec="bottom"/>
      <w:tblW w:w="10864" w:type="dxa"/>
      <w:jc w:val="left"/>
      <w:tblBorders>
        <w:top w:val="single" w:color="auto" w:sz="12" w:space="0"/>
      </w:tblBorders>
      <w:tblLayout w:type="fixed"/>
      <w:tblLook w:val="04A0" w:firstRow="1" w:lastRow="0" w:firstColumn="1" w:lastColumn="0" w:noHBand="0" w:noVBand="1"/>
      <w:tblCaption w:val=""/>
      <w:tblDescription w:val=""/>
    </w:tblPr>
    <w:tblGrid>
      <w:gridCol w:w="4295"/>
      <w:gridCol w:w="5392"/>
      <w:gridCol w:w="1177"/>
    </w:tblGrid>
    <w:tr>
      <w:trPr>
        <w:trHeight w:val="113" w:hRule="atLeast"/>
        <w:jc w:val="left"/>
      </w:trPr>
      <w:tc>
        <w:tcPr>
          <w:tcW w:type="dxa" w:w="4295"/>
          <w:tcBorders/>
          <w:tcMar>
            <w:left w:w="29" w:type="dxa"/>
            <w:right w:w="29" w:type="dxa"/>
          </w:tcMar>
          <w:vAlign w:val="bottom"/>
        </w:tcPr>
        <w:p>
          <w:pPr>
            <w:pStyle w:val="Normal_a2b7a1d6-9b28-4fcc-9f57-6db23be74faf"/>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92"/>
          <w:tcBorders/>
          <w:tcMar>
            <w:left w:w="29" w:type="dxa"/>
            <w:right w:w="29" w:type="dxa"/>
          </w:tcMar>
          <w:vAlign w:val="bottom"/>
        </w:tcPr>
        <w:p>
          <w:pPr>
            <w:pStyle w:val="Footer_0b55ff86-8e28-4b7d-a129-68fc5eccdb33"/>
            <w:tabs>
              <w:tab w:val="right" w:pos="9622"/>
              <w:tab w:val="clear" w:pos="4320"/>
              <w:tab w:val="clear" w:pos="8640"/>
            </w:tabs>
            <w:spacing w:before="40" w:after="0" w:line="240" w:lineRule="auto"/>
            <w:ind w:right="-3172"/>
            <w:rPr>
              <w:rFonts w:ascii="Arial" w:hAnsi="Arial" w:eastAsia="Arial" w:cs="Arial"/>
              <w:sz w:val="22"/>
              <w:szCs w:val="22"/>
              <w:lang w:val="en-US" w:eastAsia="ar-SA"/>
            </w:rPr>
          </w:pPr>
        </w:p>
      </w:tc>
      <w:tc>
        <w:tcPr>
          <w:tcW w:type="dxa" w:w="1177"/>
          <w:tcBorders/>
          <w:vAlign w:val="bottom"/>
        </w:tcPr>
        <w:p>
          <w:pPr>
            <w:pStyle w:val="Footer_0b55ff86-8e28-4b7d-a129-68fc5eccdb33"/>
            <w:spacing w:before="40" w:after="0" w:line="240" w:lineRule="auto"/>
            <w:jc w:val="right"/>
            <w:rPr>
              <w:rFonts w:ascii="Arial" w:hAnsi="Arial" w:eastAsia="Arial" w:cs="Arial"/>
              <w:sz w:val="22"/>
              <w:szCs w:val="22"/>
              <w:lang w:val="en-US" w:eastAsia="ar-SA"/>
            </w:rPr>
          </w:pPr>
        </w:p>
      </w:tc>
    </w:tr>
  </w:tbl>
  <w:p>
    <w:pPr>
      <w:pStyle w:val="Footer_0b55ff86-8e28-4b7d-a129-68fc5eccdb33"/>
      <w:spacing w:line="240" w:lineRule="auto"/>
      <w:rPr>
        <w:lang w:val="en-US" w:eastAsia="ar-SA"/>
      </w:rPr>
    </w:pPr>
  </w:p>
  <w:tbl>
    <w:tblPr>
      <w:tblpPr w:tblpX="-80" w:tblpY="-240" w:leftFromText="187" w:rightFromText="187" w:vertAnchor="margin" w:horzAnchor="margin" w:tblpXSpec="center" w:tblpYSpec="bottom"/>
      <w:tblW w:w="10864" w:type="dxa"/>
      <w:jc w:val="left"/>
      <w:tblBorders>
        <w:top w:val="single" w:color="auto" w:sz="12" w:space="0"/>
      </w:tblBorders>
      <w:tblLayout w:type="fixed"/>
      <w:tblLook w:val="04A0" w:firstRow="1" w:lastRow="0" w:firstColumn="1" w:lastColumn="0" w:noHBand="0" w:noVBand="1"/>
      <w:tblCaption w:val=""/>
      <w:tblDescription w:val=""/>
    </w:tblPr>
    <w:tblGrid>
      <w:gridCol w:w="4295"/>
      <w:gridCol w:w="5392"/>
      <w:gridCol w:w="1177"/>
    </w:tblGrid>
    <w:tr>
      <w:trPr>
        <w:trHeight w:val="113" w:hRule="atLeast"/>
        <w:jc w:val="left"/>
      </w:trPr>
      <w:tc>
        <w:tcPr>
          <w:tcW w:type="dxa" w:w="4295"/>
          <w:tcBorders/>
          <w:tcMar>
            <w:left w:w="29" w:type="dxa"/>
            <w:right w:w="29" w:type="dxa"/>
          </w:tcMar>
          <w:vAlign w:val="bottom"/>
        </w:tcPr>
        <w:p>
          <w:pPr>
            <w:pStyle w:val="Normal_a2b7a1d6-9b28-4fcc-9f57-6db23be74faf"/>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92"/>
          <w:tcBorders/>
          <w:tcMar>
            <w:left w:w="29" w:type="dxa"/>
            <w:right w:w="29" w:type="dxa"/>
          </w:tcMar>
          <w:vAlign w:val="bottom"/>
        </w:tcPr>
        <w:p>
          <w:pPr>
            <w:pStyle w:val="Footer_0b55ff86-8e28-4b7d-a129-68fc5eccdb33"/>
            <w:tabs>
              <w:tab w:val="right" w:pos="9622"/>
              <w:tab w:val="clear" w:pos="4320"/>
              <w:tab w:val="clear" w:pos="8640"/>
            </w:tabs>
            <w:spacing w:before="40" w:after="0" w:line="240" w:lineRule="auto"/>
            <w:ind w:right="-3172"/>
            <w:rPr>
              <w:rFonts w:ascii="Arial" w:hAnsi="Arial" w:eastAsia="Arial" w:cs="Arial"/>
              <w:sz w:val="22"/>
              <w:szCs w:val="22"/>
              <w:lang w:val="en-US" w:eastAsia="ar-SA"/>
            </w:rPr>
          </w:pPr>
        </w:p>
      </w:tc>
      <w:tc>
        <w:tcPr>
          <w:tcW w:type="dxa" w:w="1177"/>
          <w:tcBorders/>
          <w:vAlign w:val="bottom"/>
        </w:tcPr>
        <w:p>
          <w:pPr>
            <w:pStyle w:val="Footer_0b55ff86-8e28-4b7d-a129-68fc5eccdb33"/>
            <w:spacing w:before="40" w:after="0" w:line="240" w:lineRule="auto"/>
            <w:jc w:val="right"/>
            <w:rPr>
              <w:rFonts w:ascii="Arial" w:hAnsi="Arial" w:eastAsia="Arial" w:cs="Arial"/>
              <w:sz w:val="22"/>
              <w:szCs w:val="22"/>
              <w:lang w:val="en-US" w:eastAsia="ar-SA"/>
            </w:rPr>
          </w:pPr>
          <w:bookmarkEnd w:id="2"/>
        </w:p>
      </w:tc>
    </w:tr>
  </w:tbl>
  <w:p>
    <w:pPr>
      <w:pStyle w:val="Footer_0b55ff86-8e28-4b7d-a129-68fc5eccdb33"/>
      <w:spacing w:line="240" w:lineRule="auto"/>
      <w:rPr>
        <w:lang w:val="en-US" w:eastAsia="ar-SA"/>
      </w:rPr>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Normal_65bfddf7-2c2d-4f86-875e-e3fca075042c"/>
      <w:spacing w:before="0" w:after="0"/>
      <w:ind w:left="0"/>
      <w:jc w:val="left"/>
      <w:rPr/>
    </w:pPr>
  </w:p>
  <w:p>
    <w:pPr>
      <w:pStyle w:val="Normal_65bfddf7-2c2d-4f86-875e-e3fca075042c"/>
      <w:spacing w:before="0" w:after="0"/>
      <w:ind w:left="0"/>
      <w:jc w:val="left"/>
      <w:rPr/>
    </w:pPr>
    <w:r>
      <w:rPr/>
      <w:fldChar w:fldCharType="begin"/>
    </w:r>
    <w:r>
      <w:rPr/>
      <w:instrText>PAGE PAGE</w:instrText>
    </w:r>
    <w:r>
      <w:rPr/>
      <w:fldChar w:fldCharType="separate"/>
    </w:r>
    <w:r>
      <w:rPr/>
      <w:t xml:space="preserve">PAGE</w:t>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Normal_65bfddf7-2c2d-4f86-875e-e3fca075042c"/>
      <w:spacing w:before="0" w:after="0"/>
      <w:ind w:left="0"/>
      <w:jc w:val="left"/>
      <w:rPr/>
    </w:pPr>
  </w:p>
  <w:p>
    <w:pPr>
      <w:pStyle w:val="Normal_65bfddf7-2c2d-4f86-875e-e3fca075042c"/>
      <w:spacing w:before="0" w:after="0"/>
      <w:ind w:left="0"/>
      <w:jc w:val="right"/>
      <w:rPr/>
    </w:pPr>
    <w:r>
      <w:rPr/>
      <w:fldChar w:fldCharType="begin"/>
    </w:r>
    <w:r>
      <w:rPr/>
      <w:instrText>PAGE PAGE</w:instrText>
    </w:r>
    <w:r>
      <w:rPr/>
      <w:fldChar w:fldCharType="separate"/>
    </w:r>
    <w:r>
      <w:rPr/>
      <w:t xml:space="preserve">PAGE</w:t>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40" w:lineRule="auto"/>
      <w:rPr>
        <w:lang w:val="en-US" w:eastAsia="ar-SA"/>
      </w:rPr>
    </w:pP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tbl>
    <w:tblPr>
      <w:tblpPr w:tblpX="-80" w:tblpY="-240" w:leftFromText="187" w:rightFromText="187" w:vertAnchor="margin" w:horzAnchor="margin" w:tblpXSpec="center" w:tblpYSpec="bottom"/>
      <w:jc w:val="left"/>
      <w:tblBorders>
        <w:top w:val="single" w:color="auto" w:sz="12" w:space="0"/>
      </w:tblBorders>
      <w:tblLayout w:type="fixed"/>
      <w:tblLook w:val="04A0" w:firstRow="1" w:lastRow="0" w:firstColumn="1" w:lastColumn="0" w:noHBand="0" w:noVBand="1"/>
      <w:tblCaption w:val=""/>
      <w:tblDescription w:val=""/>
    </w:tblPr>
    <w:tblGrid>
      <w:gridCol w:w="4230"/>
      <w:gridCol w:w="5310"/>
      <w:gridCol w:w="1160"/>
    </w:tblGrid>
    <w:tr>
      <w:trPr>
        <w:trHeight w:val="47" w:hRule="atLeast"/>
        <w:jc w:val="left"/>
      </w:trPr>
      <w:tc>
        <w:tcPr>
          <w:tcW w:type="dxa" w:w="4230"/>
          <w:tcBorders>
            <w:top w:val="single" w:color="auto" w:sz="12" w:space="0"/>
            <w:left w:val="nil"/>
            <w:bottom w:val="nil"/>
            <w:right w:val="nil"/>
          </w:tcBorders>
          <w:tcMar>
            <w:top w:w="0" w:type="dxa"/>
            <w:left w:w="29" w:type="dxa"/>
            <w:bottom w:w="0" w:type="dxa"/>
            <w:right w:w="29" w:type="dxa"/>
          </w:tcMar>
          <w:vAlign w:val="bottom"/>
          <w:hideMark xmlns:w="http://schemas.openxmlformats.org/wordprocessingml/2006/main"/>
        </w:tcPr>
        <w:p>
          <w:pPr>
            <w:pStyle w:val="Normal_425cd869-61f7-4de2-8404-e442d7ffba9a"/>
            <w:tabs>
              <w:tab w:val="right" w:pos="8640"/>
            </w:tabs>
            <w:spacing w:before="40" w:after="0" w:line="240" w:lineRule="auto"/>
            <w:rPr>
              <w:rFonts w:ascii="Arial" w:hAnsi="Arial" w:eastAsia="Arial" w:cs="Arial"/>
              <w:sz w:val="22"/>
              <w:szCs w:val="22"/>
              <w:lang w:val="en-US" w:eastAsia="ar-SA"/>
            </w:rPr>
          </w:pPr>
          <w:r>
            <w:rPr>
              <w:rFonts w:ascii="Arial" w:hAnsi="Arial" w:eastAsia="Arial" w:cs="Arial"/>
              <w:color w:val="000000"/>
            </w:rPr>
            <w:t xml:space="preserve">36194_MPINFO7503(09/19)</w:t>
          </w:r>
        </w:p>
      </w:tc>
      <w:tc>
        <w:tcPr>
          <w:tcW w:type="dxa" w:w="5310"/>
          <w:tcBorders>
            <w:top w:val="single" w:color="auto" w:sz="12" w:space="0"/>
            <w:left w:val="nil"/>
            <w:bottom w:val="nil"/>
            <w:right w:val="nil"/>
          </w:tcBorders>
          <w:tcMar>
            <w:top w:w="0" w:type="dxa"/>
            <w:left w:w="29" w:type="dxa"/>
            <w:bottom w:w="0" w:type="dxa"/>
            <w:right w:w="29" w:type="dxa"/>
          </w:tcMar>
          <w:vAlign w:val="bottom"/>
          <w:hideMark xmlns:w="http://schemas.openxmlformats.org/wordprocessingml/2006/main"/>
        </w:tcPr>
        <w:p>
          <w:pPr>
            <w:pStyle w:val="Footer"/>
            <w:tabs>
              <w:tab w:val="right" w:pos="9622"/>
              <w:tab w:val="clear" w:pos="4320"/>
              <w:tab w:val="clear" w:pos="8640"/>
            </w:tabs>
            <w:spacing w:before="40" w:after="0" w:line="240" w:lineRule="auto"/>
            <w:ind w:right="-3172"/>
            <w:rPr>
              <w:rFonts w:ascii="Arial" w:hAnsi="Arial" w:eastAsia="Arial" w:cs="Arial"/>
              <w:sz w:val="22"/>
              <w:szCs w:val="22"/>
              <w:lang w:val="en-US" w:eastAsia="ar-SA"/>
            </w:rPr>
          </w:pPr>
          <w:r>
            <w:rPr>
              <w:rFonts w:ascii="Arial" w:hAnsi="Arial" w:eastAsia="Arial" w:cs="Arial"/>
              <w:sz w:val="22"/>
              <w:szCs w:val="22"/>
            </w:rPr>
            <w:t xml:space="preserve">2020 Commercial Metal 5-Tier Formulary, Version 2</w:t>
          </w:r>
        </w:p>
      </w:tc>
      <w:tc>
        <w:tcPr>
          <w:tcW w:type="dxa" w:w="1160"/>
          <w:tcBorders>
            <w:top w:val="single" w:color="auto" w:sz="12" w:space="0"/>
            <w:left w:val="nil"/>
            <w:bottom w:val="nil"/>
            <w:right w:val="nil"/>
          </w:tcBorders>
          <w:vAlign w:val="bottom"/>
          <w:hideMark xmlns:w="http://schemas.openxmlformats.org/wordprocessingml/2006/main"/>
        </w:tcPr>
        <w:p>
          <w:pPr>
            <w:pStyle w:val="Footer"/>
            <w:spacing w:before="40" w:after="0" w:line="240" w:lineRule="auto"/>
            <w:jc w:val="right"/>
            <w:rPr>
              <w:rFonts w:ascii="Arial" w:hAnsi="Arial" w:eastAsia="Arial" w:cs="Arial"/>
              <w:sz w:val="22"/>
              <w:szCs w:val="22"/>
              <w:lang w:val="en-US" w:eastAsia="ar-SA"/>
            </w:rPr>
          </w:pPr>
          <w:r>
            <w:rPr>
              <w:rFonts w:ascii="Arial" w:hAnsi="Arial" w:eastAsia="Arial" w:cs="Arial"/>
              <w:sz w:val="22"/>
              <w:szCs w:val="22"/>
            </w:rPr>
            <w:t xml:space="preserve">Page </w:t>
          </w:r>
          <w:r>
            <w:rPr>
              <w:rFonts w:ascii="Arial" w:hAnsi="Arial" w:eastAsia="Arial" w:cs="Arial"/>
              <w:sz w:val="22"/>
              <w:szCs w:val="22"/>
            </w:rPr>
            <w:fldChar w:fldCharType="begin"/>
          </w:r>
          <w:r>
            <w:rPr>
              <w:rFonts w:ascii="Arial" w:hAnsi="Arial" w:eastAsia="Arial" w:cs="Arial"/>
              <w:sz w:val="22"/>
              <w:szCs w:val="22"/>
            </w:rPr>
            <w:instrText>PAGE   \* MERGEFORMAT</w:instrText>
          </w:r>
          <w:r>
            <w:rPr>
              <w:rFonts w:ascii="Arial" w:hAnsi="Arial" w:eastAsia="Arial" w:cs="Arial"/>
              <w:sz w:val="22"/>
              <w:szCs w:val="22"/>
            </w:rPr>
            <w:fldChar w:fldCharType="separate"/>
          </w:r>
          <w:r>
            <w:rPr>
              <w:rFonts w:ascii="Arial" w:hAnsi="Arial" w:eastAsia="Arial" w:cs="Arial"/>
              <w:noProof/>
              <w:sz w:val="22"/>
              <w:szCs w:val="22"/>
            </w:rPr>
            <w:t xml:space="preserve">162</w:t>
          </w:r>
          <w:r>
            <w:rPr>
              <w:rFonts w:ascii="Arial" w:hAnsi="Arial" w:eastAsia="Arial" w:cs="Arial"/>
              <w:sz w:val="22"/>
              <w:szCs w:val="22"/>
            </w:rPr>
            <w:fldChar w:fldCharType="end"/>
          </w:r>
        </w:p>
      </w:tc>
    </w:tr>
  </w:tbl>
  <w:p>
    <w:pPr>
      <w:pStyle w:val="Normale149554b-3d8b-4935-a657-33ab8e352bbd"/>
      <w:spacing w:line="240" w:lineRule="auto"/>
      <w:rPr>
        <w:lang w:val="en-US" w:eastAsia="ar-SA"/>
      </w:rPr>
    </w:pPr>
  </w:p>
</w:ftr>
</file>

<file path=word/header1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_76a4c64c-ef7e-4950-b5b9-3aa25d0b4494"/>
      <w:spacing w:line="240" w:lineRule="auto"/>
      <w:rPr>
        <w:lang w:val="en-US" w:eastAsia="ar-SA"/>
      </w:rPr>
    </w:pPr>
    <w:r>
      <w:rPr>
        <w:noProof/>
      </w:rPr>
      <w:drawing>
        <wp:anchor distT="0" distB="0" distL="114300" distR="114300" simplePos="0" relativeHeight="251659264" behindDoc="1" locked="0" layoutInCell="1" allowOverlap="1">
          <wp:simplePos x="0" y="0"/>
          <wp:positionH relativeFrom="page">
            <wp:posOffset>228600</wp:posOffset>
          </wp:positionH>
          <wp:positionV relativeFrom="page">
            <wp:posOffset>228600</wp:posOffset>
          </wp:positionV>
          <wp:extent cx="7315200" cy="1764792"/>
          <wp:effectExtent xmlns:wp="http://schemas.openxmlformats.org/drawingml/2006/wordprocessingDrawing" l="0" t="0" r="0" b="0"/>
          <wp:wrapNone/>
          <wp:docPr id="290" name="Picture 20"/>
          <a:graphic>
            <a:graphicData uri="http://schemas.openxmlformats.org/drawingml/2006/picture">
              <pic:pic>
                <pic:nvPicPr>
                  <pic:cNvPr id="0" name="" descr=""/>
                  <pic:cNvPicPr>
                    <a:picLocks noChangeAspect="1" noChangeArrowheads="1"/>
                  </pic:cNvPicPr>
                </pic:nvPicPr>
                <pic:blipFill>
                  <a:blip r:embed="rId24"/>
                  <a:srcRect/>
                  <a:stretch>
                    <a:fillRect/>
                  </a:stretch>
                </pic:blipFill>
                <pic:spPr bwMode="auto">
                  <a:xfrm>
                    <a:off x="0" y="0"/>
                    <a:ext cx="7315200" cy="1764792"/>
                  </a:xfrm>
                  <a:prstGeom prst="rect">
                    <a:avLst/>
                  </a:prstGeom>
                </pic:spPr>
              </pic:pic>
            </a:graphicData>
          </a:graphic>
        </wp:anchor>
      </w:drawing>
    </w:r>
  </w:p>
</w:hdr>
</file>

<file path=word/header1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_76a4c64c-ef7e-4950-b5b9-3aa25d0b4494"/>
      <w:spacing w:line="240" w:lineRule="auto"/>
      <w:rPr>
        <w:lang w:val="en-US" w:eastAsia="ar-SA"/>
      </w:rPr>
    </w:pPr>
  </w:p>
</w:hdr>
</file>

<file path=word/header18.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_76a4c64c-ef7e-4950-b5b9-3aa25d0b4494"/>
      <w:spacing w:line="240" w:lineRule="auto"/>
      <w:rPr>
        <w:lang w:val="en-US" w:eastAsia="ar-SA"/>
      </w:rPr>
    </w:pPr>
  </w:p>
  <w:p>
    <w:pPr>
      <w:pStyle w:val="Header_76a4c64c-ef7e-4950-b5b9-3aa25d0b4494"/>
      <w:spacing w:line="240" w:lineRule="auto"/>
      <w:rPr>
        <w:lang w:val="en-US" w:eastAsia="ar-SA"/>
      </w:rPr>
    </w:pPr>
  </w:p>
  <w:p>
    <w:pPr>
      <w:pStyle w:val="Header_76a4c64c-ef7e-4950-b5b9-3aa25d0b4494"/>
      <w:spacing w:line="240" w:lineRule="auto"/>
      <w:rPr>
        <w:lang w:val="en-US" w:eastAsia="ar-SA"/>
      </w:rPr>
    </w:pPr>
  </w:p>
</w:hdr>
</file>

<file path=word/header20.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_cc2121c1-2fbe-4c44-80bc-df33300db1f9"/>
      <w:spacing w:line="240" w:lineRule="auto"/>
      <w:rPr>
        <w:lang w:val="en-US" w:eastAsia="ar-SA"/>
      </w:rPr>
    </w:pPr>
  </w:p>
</w:hdr>
</file>

<file path=word/header2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_cc2121c1-2fbe-4c44-80bc-df33300db1f9"/>
      <w:spacing w:line="240" w:lineRule="auto"/>
      <w:rPr>
        <w:lang w:val="en-US" w:eastAsia="ar-SA"/>
      </w:rPr>
    </w:pPr>
  </w:p>
  <w:p>
    <w:pPr>
      <w:pStyle w:val="Header_cc2121c1-2fbe-4c44-80bc-df33300db1f9"/>
      <w:spacing w:line="240" w:lineRule="auto"/>
      <w:rPr>
        <w:lang w:val="en-US" w:eastAsia="ar-SA"/>
      </w:rPr>
    </w:pPr>
  </w:p>
  <w:p>
    <w:pPr>
      <w:pStyle w:val="Header_cc2121c1-2fbe-4c44-80bc-df33300db1f9"/>
      <w:spacing w:line="240" w:lineRule="auto"/>
      <w:rPr>
        <w:lang w:val="en-US" w:eastAsia="ar-SA"/>
      </w:rPr>
    </w:pPr>
  </w:p>
  <w:p>
    <w:pPr>
      <w:pStyle w:val="Header_cc2121c1-2fbe-4c44-80bc-df33300db1f9"/>
      <w:spacing w:line="240" w:lineRule="auto"/>
      <w:rPr>
        <w:lang w:val="en-US" w:eastAsia="ar-SA"/>
      </w:rPr>
    </w:pPr>
  </w:p>
  <w:p>
    <w:pPr>
      <w:pStyle w:val="Header_cc2121c1-2fbe-4c44-80bc-df33300db1f9"/>
      <w:spacing w:line="240" w:lineRule="auto"/>
      <w:rPr>
        <w:lang w:val="en-US" w:eastAsia="ar-SA"/>
      </w:rPr>
    </w:pPr>
  </w:p>
  <w:p>
    <w:pPr>
      <w:pStyle w:val="Header_cc2121c1-2fbe-4c44-80bc-df33300db1f9"/>
      <w:spacing w:line="240" w:lineRule="auto"/>
      <w:rPr>
        <w:lang w:val="en-US" w:eastAsia="ar-SA"/>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40" w:lineRule="auto"/>
      <w:rPr>
        <w:lang w:val="en-US" w:eastAsia="ar-SA"/>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40" w:lineRule="auto"/>
      <w:rPr>
        <w:lang w:val="en-US" w:eastAsia="ar-SA"/>
      </w:rPr>
    </w:pPr>
  </w:p>
</w:hdr>
</file>

<file path=word/header9.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40" w:lineRule="auto"/>
      <w:rPr>
        <w:lang w:val="en-U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0"/>
      <w:numFmt w:val="bullet"/>
      <w:suff w:val="tab"/>
      <w:lvlText w:val=""/>
      <w:pPr>
        <w:spacing/>
        <w:ind w:left="1468" w:hanging="360"/>
      </w:pPr>
      <w:rPr>
        <w:rFonts w:ascii="Wingdings" w:hAnsi="Wingdings" w:eastAsia="Wingdings" w:cs="Wingdings" w:hint="default"/>
        <w:sz w:val="22"/>
        <w:szCs w:val="22"/>
      </w:rPr>
    </w:lvl>
    <w:lvl w:ilvl="1">
      <w:start w:val="0"/>
      <w:numFmt w:val="bullet"/>
      <w:suff w:val="tab"/>
      <w:lvlText w:val=""/>
      <w:pPr>
        <w:spacing/>
        <w:ind w:left="2188" w:hanging="360"/>
      </w:pPr>
      <w:rPr>
        <w:rFonts w:ascii="Wingdings" w:hAnsi="Wingdings" w:eastAsia="Wingdings" w:cs="Wingdings" w:hint="default"/>
        <w:sz w:val="22"/>
        <w:szCs w:val="22"/>
      </w:rPr>
    </w:lvl>
    <w:lvl w:ilvl="2">
      <w:start w:val="0"/>
      <w:numFmt w:val="bullet"/>
      <w:suff w:val="tab"/>
      <w:lvlText w:val="•"/>
      <w:pPr>
        <w:spacing/>
        <w:ind w:left="3240" w:hanging="360"/>
      </w:pPr>
      <w:rPr>
        <w:rFonts w:hint="default"/>
      </w:rPr>
    </w:lvl>
    <w:lvl w:ilvl="3">
      <w:start w:val="0"/>
      <w:numFmt w:val="bullet"/>
      <w:suff w:val="tab"/>
      <w:lvlText w:val="•"/>
      <w:pPr>
        <w:spacing/>
        <w:ind w:left="4300" w:hanging="360"/>
      </w:pPr>
      <w:rPr>
        <w:rFonts w:hint="default"/>
      </w:rPr>
    </w:lvl>
    <w:lvl w:ilvl="4">
      <w:start w:val="0"/>
      <w:numFmt w:val="bullet"/>
      <w:suff w:val="tab"/>
      <w:lvlText w:val="•"/>
      <w:pPr>
        <w:spacing/>
        <w:ind w:left="5360" w:hanging="360"/>
      </w:pPr>
      <w:rPr>
        <w:rFonts w:hint="default"/>
      </w:rPr>
    </w:lvl>
    <w:lvl w:ilvl="5">
      <w:start w:val="0"/>
      <w:numFmt w:val="bullet"/>
      <w:suff w:val="tab"/>
      <w:lvlText w:val="•"/>
      <w:pPr>
        <w:spacing/>
        <w:ind w:left="6420" w:hanging="360"/>
      </w:pPr>
      <w:rPr>
        <w:rFonts w:hint="default"/>
      </w:rPr>
    </w:lvl>
    <w:lvl w:ilvl="6">
      <w:start w:val="0"/>
      <w:numFmt w:val="bullet"/>
      <w:suff w:val="tab"/>
      <w:lvlText w:val="•"/>
      <w:pPr>
        <w:spacing/>
        <w:ind w:left="7480" w:hanging="360"/>
      </w:pPr>
      <w:rPr>
        <w:rFonts w:hint="default"/>
      </w:rPr>
    </w:lvl>
    <w:lvl w:ilvl="7">
      <w:start w:val="0"/>
      <w:numFmt w:val="bullet"/>
      <w:suff w:val="tab"/>
      <w:lvlText w:val="•"/>
      <w:pPr>
        <w:spacing/>
        <w:ind w:left="8540" w:hanging="360"/>
      </w:pPr>
      <w:rPr>
        <w:rFonts w:hint="default"/>
      </w:rPr>
    </w:lvl>
    <w:lvl w:ilvl="8">
      <w:start w:val="0"/>
      <w:numFmt w:val="bullet"/>
      <w:suff w:val="tab"/>
      <w:lvlText w:val="•"/>
      <w:pPr>
        <w:spacing/>
        <w:ind w:left="960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20"/>
  <w:evenAndOddHeader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PrDefault>
    <w:pPrDefault>
      <w:pPr>
        <w:spacing/>
      </w:pPr>
    </w:pPrDefault>
  </w:docDefaults>
  <w:style w:type="paragraph" w:styleId="Normal" w:default="1">
    <w:name w:val="Normal"/>
    <w:next w:val="Normal"/>
    <w:pPr>
      <w:spacing/>
    </w:pPr>
    <w:rPr>
      <w:rFonts w:ascii="Times New Roman" w:hAnsi="Times New Roman" w:eastAsia="Times New Roman" w:cs="Times New Roman"/>
      <w:sz w:val="24"/>
      <w:szCs w:val="24"/>
    </w:rPr>
  </w:style>
  <w:style w:type="paragraph" w:styleId="Heading2">
    <w:name w:val="Heading 2"/>
    <w:basedOn w:val="Normal"/>
    <w:next w:val="Normal"/>
    <w:qFormat/>
    <w:pPr>
      <w:spacing/>
      <w:outlineLvl w:val="1"/>
    </w:pPr>
    <w:rPr/>
  </w:style>
  <w:style w:type="paragraph" w:styleId="Normal_2e0b130a-34dc-4db4-8933-2ab676268d34" w:customStyle="1">
    <w:name w:val="Normal_2e0b130a-34dc-4db4-8933-2ab676268d34"/>
    <w:next w:val="Normal"/>
    <w:pPr>
      <w:spacing/>
    </w:pPr>
    <w:rPr>
      <w:rFonts w:ascii="Times New Roman" w:hAnsi="Times New Roman" w:eastAsia="Times New Roman" w:cs="Times New Roman"/>
      <w:sz w:val="24"/>
      <w:szCs w:val="24"/>
    </w:rPr>
  </w:style>
  <w:style w:type="paragraph" w:styleId="Normal_65bfddf7-2c2d-4f86-875e-e3fca075042c" w:customStyle="1">
    <w:name w:val="Normal_65bfddf7-2c2d-4f86-875e-e3fca075042c"/>
    <w:next w:val="Normal"/>
    <w:pPr>
      <w:spacing/>
    </w:pPr>
    <w:rPr>
      <w:rFonts w:ascii="Times New Roman" w:hAnsi="Times New Roman" w:eastAsia="Times New Roman" w:cs="Times New Roman"/>
      <w:sz w:val="24"/>
      <w:szCs w:val="24"/>
    </w:rPr>
  </w:style>
  <w:style w:type="table" w:styleId="TableNormal" w:default="1">
    <w:name w:val="Normal Table"/>
    <w:semiHidden/>
    <w:unhideWhenUsed/>
    <w:qFormat/>
    <w:pPr>
      <w:spacing/>
    </w:pPr>
    <w:rPr/>
    <w:tblPr>
      <w:tblInd w:w="0" w:type="dxa"/>
      <w:tblBorders/>
      <w:tblCellMar>
        <w:top w:w="0" w:type="dxa"/>
        <w:left w:w="108" w:type="dxa"/>
        <w:bottom w:w="0" w:type="dxa"/>
        <w:right w:w="108" w:type="dxa"/>
      </w:tblCellMar>
    </w:tblPr>
    <w:trPr/>
    <w:tcPr>
      <w:tcBorders/>
      <w:tcMar/>
    </w:tcPr>
  </w:style>
  <w:style w:type="character" w:styleId="NoList">
    <w:name w:val="No List"/>
    <w:semiHidden/>
    <w:unhideWhenUsed/>
    <w:rPr/>
  </w:style>
  <w:style w:type="table" w:styleId="TableGrid">
    <w:name w:val="Table Grid"/>
    <w:basedOn w:val="TableNormal"/>
    <w:pPr>
      <w:spacing/>
    </w:pPr>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blPr>
    <w:trPr/>
    <w:tcPr>
      <w:tcBorders/>
      <w:tcMar/>
    </w:tcPr>
  </w:style>
  <w:style w:type="character" w:styleId="DefaultParagraphFont" w:default="1">
    <w:name w:val="Default Paragraph Font"/>
    <w:semiHidden/>
    <w:unhideWhenUsed/>
    <w:rPr/>
  </w:style>
  <w:style w:type="paragraph" w:styleId="DrugListHeader" w:customStyle="1">
    <w:name w:val="Drug List Header"/>
    <w:basedOn w:val="Normal"/>
    <w:pPr>
      <w:spacing/>
    </w:pPr>
    <w:rPr/>
  </w:style>
  <w:style w:type="paragraph" w:styleId="Category" w:customStyle="1">
    <w:name w:val="Category"/>
    <w:basedOn w:val="Normal"/>
    <w:pPr>
      <w:spacing/>
    </w:pPr>
    <w:rPr/>
  </w:style>
  <w:style w:type="paragraph" w:styleId="Class" w:customStyle="1">
    <w:name w:val="Class"/>
    <w:basedOn w:val="Normal"/>
    <w:pPr>
      <w:spacing/>
    </w:pPr>
    <w:rPr/>
  </w:style>
  <w:style w:type="paragraph" w:styleId="GenericDrug" w:customStyle="1">
    <w:name w:val="Generic Drug"/>
    <w:basedOn w:val="Normal"/>
    <w:pPr>
      <w:spacing/>
    </w:pPr>
    <w:rPr/>
  </w:style>
  <w:style w:type="paragraph" w:styleId="BrandDrug" w:customStyle="1">
    <w:name w:val="Brand Drug"/>
    <w:basedOn w:val="Normal"/>
    <w:pPr>
      <w:spacing/>
    </w:pPr>
    <w:rPr/>
  </w:style>
  <w:style w:type="paragraph" w:styleId="Tier" w:customStyle="1">
    <w:name w:val="Tier"/>
    <w:basedOn w:val="Normal"/>
    <w:pPr>
      <w:spacing/>
    </w:pPr>
    <w:rPr/>
  </w:style>
  <w:style w:type="paragraph" w:styleId="Requirements" w:customStyle="1">
    <w:name w:val="Requirements"/>
    <w:basedOn w:val="Normal"/>
    <w:pPr>
      <w:spacing/>
    </w:pPr>
    <w:rPr/>
  </w:style>
  <w:style w:type="paragraph" w:styleId="Heading1">
    <w:name w:val="Heading 1"/>
    <w:basedOn w:val="Normal"/>
    <w:qFormat/>
    <w:pPr>
      <w:spacing/>
      <w:outlineLvl w:val="0"/>
    </w:pPr>
    <w:rPr/>
  </w:style>
  <w:style w:type="paragraph" w:styleId="Heading3">
    <w:name w:val="Heading 3"/>
    <w:basedOn w:val="Normal"/>
    <w:qFormat/>
    <w:pPr>
      <w:spacing/>
      <w:outlineLvl w:val="2"/>
    </w:pPr>
    <w:rPr/>
  </w:style>
  <w:style w:type="paragraph" w:styleId="IndexHeading">
    <w:name w:val="Index Heading"/>
    <w:basedOn w:val="Normal"/>
    <w:pPr>
      <w:spacing/>
    </w:pPr>
    <w:rPr>
      <w:rFonts w:ascii="Arial" w:hAnsi="Arial" w:eastAsia="Arial" w:cs="Arial"/>
      <w:b/>
      <w:bCs/>
      <w:sz w:val="20"/>
    </w:rPr>
  </w:style>
  <w:style w:type="paragraph" w:styleId="Index1">
    <w:name w:val="Index 1"/>
    <w:basedOn w:val="Normal"/>
    <w:pPr>
      <w:spacing/>
      <w:ind w:left="240" w:hanging="240"/>
    </w:pPr>
    <w:rPr>
      <w:rFonts w:ascii="Arial" w:hAnsi="Arial" w:eastAsia="Arial" w:cs="Arial"/>
      <w:sz w:val="20"/>
    </w:rPr>
  </w:style>
  <w:style w:type="paragraph" w:styleId="Normaldc672cce-b334-41c7-b544-3b9ace5f8052" w:customStyle="1">
    <w:name w:val="Normal_dc672cce-b334-41c7-b544-3b9ace5f8052"/>
    <w:next w:val="Normal"/>
    <w:qFormat/>
    <w:pPr>
      <w:spacing w:before="120" w:after="120" w:line="240" w:lineRule="auto"/>
    </w:pPr>
    <w:rPr>
      <w:rFonts w:ascii="Times New Roman" w:hAnsi="Times New Roman" w:eastAsia="Times New Roman" w:cs="Times New Roman"/>
      <w:sz w:val="24"/>
      <w:szCs w:val="24"/>
    </w:rPr>
  </w:style>
  <w:style w:type="paragraph" w:styleId="Normal_425cd869-61f7-4de2-8404-e442d7ffba9a" w:customStyle="1">
    <w:name w:val="Normal_425cd869-61f7-4de2-8404-e442d7ffba9a"/>
    <w:next w:val="Normal"/>
    <w:qFormat/>
    <w:pPr>
      <w:spacing w:before="120" w:after="120" w:line="240" w:lineRule="auto"/>
    </w:pPr>
    <w:rPr>
      <w:rFonts w:ascii="Times New Roman" w:hAnsi="Times New Roman" w:eastAsia="Times New Roman" w:cs="Times New Roman"/>
      <w:sz w:val="24"/>
      <w:szCs w:val="24"/>
    </w:rPr>
  </w:style>
  <w:style w:type="paragraph" w:styleId="Header">
    <w:name w:val="Header"/>
    <w:basedOn w:val="Normal_425cd869-61f7-4de2-8404-e442d7ffba9a"/>
    <w:next w:val="Normal"/>
    <w:link w:val="HeaderChar"/>
    <w:unhideWhenUsed/>
    <w:pPr>
      <w:tabs>
        <w:tab w:val="center" w:pos="4680"/>
        <w:tab w:val="right" w:pos="9360"/>
      </w:tabs>
      <w:spacing w:before="0" w:after="0"/>
    </w:pPr>
    <w:rPr/>
  </w:style>
  <w:style w:type="paragraph" w:styleId="Normal_649e44e4-d6d8-463f-8a38-6550555da245" w:customStyle="1">
    <w:name w:val="Normal_649e44e4-d6d8-463f-8a38-6550555da245"/>
    <w:next w:val="Normal"/>
    <w:qFormat/>
    <w:pPr>
      <w:spacing w:before="120" w:after="120" w:line="240" w:lineRule="auto"/>
    </w:pPr>
    <w:rPr>
      <w:rFonts w:ascii="Times New Roman" w:hAnsi="Times New Roman" w:eastAsia="Times New Roman" w:cs="Times New Roman"/>
      <w:sz w:val="24"/>
      <w:szCs w:val="24"/>
    </w:rPr>
  </w:style>
  <w:style w:type="paragraph" w:styleId="Footer">
    <w:name w:val="Footer"/>
    <w:basedOn w:val="Normal_649e44e4-d6d8-463f-8a38-6550555da245"/>
    <w:next w:val="Normal"/>
    <w:link w:val="FooterChar"/>
    <w:pPr>
      <w:tabs>
        <w:tab w:val="center" w:pos="4320"/>
        <w:tab w:val="right" w:pos="8640"/>
      </w:tabs>
      <w:spacing/>
    </w:pPr>
    <w:rPr/>
  </w:style>
  <w:style w:type="paragraph" w:styleId="Normale149554b-3d8b-4935-a657-33ab8e352bbd" w:customStyle="1">
    <w:name w:val="Normal_e149554b-3d8b-4935-a657-33ab8e352bbd"/>
    <w:next w:val="Normal"/>
    <w:qFormat/>
    <w:pPr>
      <w:spacing w:before="120" w:after="120" w:line="240" w:lineRule="auto"/>
    </w:pPr>
    <w:rPr>
      <w:rFonts w:ascii="Times New Roman" w:hAnsi="Times New Roman" w:eastAsia="Times New Roman" w:cs="Times New Roman"/>
      <w:sz w:val="24"/>
      <w:szCs w:val="24"/>
    </w:rPr>
  </w:style>
  <w:style w:type="paragraph" w:styleId="Normal9445d040-2539-417f-b9e9-ef31b3bd6d1d" w:customStyle="1">
    <w:name w:val="Normal_9445d040-2539-417f-b9e9-ef31b3bd6d1d"/>
    <w:next w:val="Normal"/>
    <w:qFormat/>
    <w:pPr>
      <w:spacing w:before="120" w:after="120" w:line="240" w:lineRule="auto"/>
    </w:pPr>
    <w:rPr>
      <w:rFonts w:ascii="Times New Roman" w:hAnsi="Times New Roman" w:eastAsia="Times New Roman" w:cs="Times New Roman"/>
      <w:sz w:val="24"/>
      <w:szCs w:val="24"/>
    </w:rPr>
  </w:style>
  <w:style w:type="paragraph" w:styleId="Normal627bd951-cc39-48b3-a5c7-dd2be265fbd2" w:customStyle="1">
    <w:name w:val="Normal_627bd951-cc39-48b3-a5c7-dd2be265fbd2"/>
    <w:next w:val="Normal"/>
    <w:qFormat/>
    <w:pPr>
      <w:spacing w:before="120" w:after="120" w:line="240" w:lineRule="auto"/>
    </w:pPr>
    <w:rPr>
      <w:rFonts w:ascii="Times New Roman" w:hAnsi="Times New Roman" w:eastAsia="Times New Roman" w:cs="Times New Roman"/>
      <w:sz w:val="24"/>
      <w:szCs w:val="24"/>
    </w:rPr>
  </w:style>
  <w:style w:type="paragraph" w:styleId="Normal_66aeea3a-c70d-4cf8-9bad-5448b75b89f3" w:customStyle="1">
    <w:name w:val="Normal_66aeea3a-c70d-4cf8-9bad-5448b75b89f3"/>
    <w:next w:val="Normal"/>
    <w:qFormat/>
    <w:pPr>
      <w:spacing w:before="120" w:after="120" w:line="240" w:lineRule="auto"/>
    </w:pPr>
    <w:rPr>
      <w:rFonts w:ascii="Times New Roman" w:hAnsi="Times New Roman" w:eastAsia="Times New Roman" w:cs="Times New Roman"/>
      <w:sz w:val="24"/>
      <w:szCs w:val="24"/>
    </w:rPr>
  </w:style>
  <w:style w:type="paragraph" w:styleId="Header_76a4c64c-ef7e-4950-b5b9-3aa25d0b4494" w:customStyle="1">
    <w:name w:val="Header_76a4c64c-ef7e-4950-b5b9-3aa25d0b4494"/>
    <w:basedOn w:val="Normal_66aeea3a-c70d-4cf8-9bad-5448b75b89f3"/>
    <w:next w:val="Normal"/>
    <w:link w:val="HeaderChar"/>
    <w:unhideWhenUsed/>
    <w:pPr>
      <w:tabs>
        <w:tab w:val="center" w:pos="4680"/>
        <w:tab w:val="right" w:pos="9360"/>
      </w:tabs>
      <w:spacing w:before="0" w:after="0"/>
    </w:pPr>
    <w:rPr/>
  </w:style>
  <w:style w:type="paragraph" w:styleId="Normal_37aa853c-4cb3-49a2-90a6-447e235b5a97" w:customStyle="1">
    <w:name w:val="Normal_37aa853c-4cb3-49a2-90a6-447e235b5a97"/>
    <w:next w:val="Normal"/>
    <w:qFormat/>
    <w:pPr>
      <w:spacing w:before="120" w:after="120" w:line="240" w:lineRule="auto"/>
    </w:pPr>
    <w:rPr>
      <w:rFonts w:ascii="Times New Roman" w:hAnsi="Times New Roman" w:eastAsia="Times New Roman" w:cs="Times New Roman"/>
      <w:sz w:val="24"/>
      <w:szCs w:val="24"/>
    </w:rPr>
  </w:style>
  <w:style w:type="paragraph" w:styleId="Footer_4843770c-3338-4b37-aa30-890f897d1a5a" w:customStyle="1">
    <w:name w:val="Footer_4843770c-3338-4b37-aa30-890f897d1a5a"/>
    <w:basedOn w:val="Normal_37aa853c-4cb3-49a2-90a6-447e235b5a97"/>
    <w:next w:val="Normal"/>
    <w:link w:val="FooterChar"/>
    <w:pPr>
      <w:tabs>
        <w:tab w:val="center" w:pos="4320"/>
        <w:tab w:val="right" w:pos="8640"/>
      </w:tabs>
      <w:spacing/>
    </w:pPr>
    <w:rPr/>
  </w:style>
  <w:style w:type="paragraph" w:styleId="Normal_724f970e-aa61-4491-910f-380fc47f419f" w:customStyle="1">
    <w:name w:val="Normal_724f970e-aa61-4491-910f-380fc47f419f"/>
    <w:next w:val="Normal"/>
    <w:qFormat/>
    <w:pPr>
      <w:spacing w:before="120" w:after="120" w:line="240" w:lineRule="auto"/>
    </w:pPr>
    <w:rPr>
      <w:rFonts w:ascii="Times New Roman" w:hAnsi="Times New Roman" w:eastAsia="Times New Roman" w:cs="Times New Roman"/>
      <w:sz w:val="24"/>
      <w:szCs w:val="24"/>
    </w:rPr>
  </w:style>
  <w:style w:type="paragraph" w:styleId="Normal_0ef58f6d-ed81-432b-8d3a-8011908c189f" w:customStyle="1">
    <w:name w:val="Normal_0ef58f6d-ed81-432b-8d3a-8011908c189f"/>
    <w:next w:val="Normal"/>
    <w:qFormat/>
    <w:pPr>
      <w:spacing w:before="120" w:after="120" w:line="240" w:lineRule="auto"/>
    </w:pPr>
    <w:rPr>
      <w:rFonts w:ascii="Times New Roman" w:hAnsi="Times New Roman" w:eastAsia="Times New Roman" w:cs="Times New Roman"/>
      <w:sz w:val="24"/>
      <w:szCs w:val="24"/>
    </w:rPr>
  </w:style>
  <w:style w:type="paragraph" w:styleId="Normal_06f627c3-da49-4dd1-b2c6-7c005fc0a917" w:customStyle="1">
    <w:name w:val="Normal_06f627c3-da49-4dd1-b2c6-7c005fc0a917"/>
    <w:next w:val="Normal"/>
    <w:qFormat/>
    <w:pPr>
      <w:spacing w:before="120" w:after="120" w:line="240" w:lineRule="auto"/>
    </w:pPr>
    <w:rPr>
      <w:rFonts w:ascii="Times New Roman" w:hAnsi="Times New Roman" w:eastAsia="Times New Roman" w:cs="Times New Roman"/>
      <w:sz w:val="24"/>
      <w:szCs w:val="24"/>
    </w:rPr>
  </w:style>
  <w:style w:type="paragraph" w:styleId="Header_cc2121c1-2fbe-4c44-80bc-df33300db1f9" w:customStyle="1">
    <w:name w:val="Header_cc2121c1-2fbe-4c44-80bc-df33300db1f9"/>
    <w:basedOn w:val="Normal_06f627c3-da49-4dd1-b2c6-7c005fc0a917"/>
    <w:next w:val="Normal"/>
    <w:link w:val="HeaderChar"/>
    <w:unhideWhenUsed/>
    <w:pPr>
      <w:tabs>
        <w:tab w:val="center" w:pos="4680"/>
        <w:tab w:val="right" w:pos="9360"/>
      </w:tabs>
      <w:spacing w:before="0" w:after="0"/>
    </w:pPr>
    <w:rPr/>
  </w:style>
  <w:style w:type="paragraph" w:styleId="Normal_a2b7a1d6-9b28-4fcc-9f57-6db23be74faf" w:customStyle="1">
    <w:name w:val="Normal_a2b7a1d6-9b28-4fcc-9f57-6db23be74faf"/>
    <w:next w:val="Normal"/>
    <w:qFormat/>
    <w:pPr>
      <w:spacing w:before="120" w:after="120" w:line="240" w:lineRule="auto"/>
    </w:pPr>
    <w:rPr>
      <w:rFonts w:ascii="Times New Roman" w:hAnsi="Times New Roman" w:eastAsia="Times New Roman" w:cs="Times New Roman"/>
      <w:sz w:val="24"/>
      <w:szCs w:val="24"/>
    </w:rPr>
  </w:style>
  <w:style w:type="paragraph" w:styleId="Normal_a6f1e6e9-a3a2-42b9-98f6-aca296604dec" w:customStyle="1">
    <w:name w:val="Normal_a6f1e6e9-a3a2-42b9-98f6-aca296604dec"/>
    <w:next w:val="Normal"/>
    <w:qFormat/>
    <w:pPr>
      <w:spacing w:before="120" w:after="120" w:line="240" w:lineRule="auto"/>
    </w:pPr>
    <w:rPr>
      <w:rFonts w:ascii="Times New Roman" w:hAnsi="Times New Roman" w:eastAsia="Times New Roman" w:cs="Times New Roman"/>
      <w:sz w:val="24"/>
      <w:szCs w:val="24"/>
    </w:rPr>
  </w:style>
  <w:style w:type="paragraph" w:styleId="Footer_0b55ff86-8e28-4b7d-a129-68fc5eccdb33" w:customStyle="1">
    <w:name w:val="Footer_0b55ff86-8e28-4b7d-a129-68fc5eccdb33"/>
    <w:basedOn w:val="Normal_a6f1e6e9-a3a2-42b9-98f6-aca296604dec"/>
    <w:next w:val="Normal"/>
    <w:link w:val="FooterChar"/>
    <w:pPr>
      <w:tabs>
        <w:tab w:val="center" w:pos="4320"/>
        <w:tab w:val="right" w:pos="8640"/>
      </w:tabs>
      <w:spacing/>
    </w:pPr>
    <w:rPr/>
  </w:style>
  <w:style w:type="paragraph" w:styleId="Normal_78e06385-8946-4894-85c6-b02b86abb408" w:customStyle="1">
    <w:name w:val="Normal_78e06385-8946-4894-85c6-b02b86abb408"/>
    <w:next w:val="Normal"/>
    <w:qFormat/>
    <w:pPr>
      <w:spacing w:before="120" w:after="120" w:line="240" w:lineRule="auto"/>
    </w:pPr>
    <w:rPr>
      <w:rFonts w:ascii="Times New Roman" w:hAnsi="Times New Roman" w:eastAsia="Times New Roman" w:cs="Times New Roman"/>
      <w:sz w:val="24"/>
      <w:szCs w:val="24"/>
    </w:rPr>
  </w:style>
  <w:style w:type="paragraph" w:styleId="Normal_ff6d7262-5154-498a-b6f3-753cbea5c176" w:customStyle="1">
    <w:name w:val="Normal_ff6d7262-5154-498a-b6f3-753cbea5c176"/>
    <w:next w:val="Normal"/>
    <w:qFormat/>
    <w:pPr>
      <w:spacing w:before="120" w:after="120" w:line="240" w:lineRule="auto"/>
    </w:pPr>
    <w:rPr>
      <w:rFonts w:ascii="Times New Roman" w:hAnsi="Times New Roman" w:eastAsia="Times New Roman" w:cs="Times New Roman"/>
      <w:sz w:val="24"/>
      <w:szCs w:val="24"/>
    </w:rPr>
  </w:style>
</w:styles>
</file>

<file path=word/_rels/document.xml.rels>&#65279;<?xml version="1.0" encoding="utf-8" standalone="yes"?><Relationships xmlns="http://schemas.openxmlformats.org/package/2006/relationships"><Relationship Id="rId25" Type="http://schemas.openxmlformats.org/officeDocument/2006/relationships/styles" Target="styles.xml" /><Relationship Id="rId26" Type="http://schemas.openxmlformats.org/officeDocument/2006/relationships/settings" Target="settings.xml" /><Relationship Id="rId27" Type="http://schemas.openxmlformats.org/officeDocument/2006/relationships/numbering" Target="numbering.xml" /><Relationship Id="rId1" Type="http://schemas.openxmlformats.org/officeDocument/2006/relationships/footer" Target="footer1.xml" /><Relationship Id="rId3" Type="http://schemas.openxmlformats.org/officeDocument/2006/relationships/footer" Target="footer3.xml" /><Relationship Id="rId8" Type="http://schemas.openxmlformats.org/officeDocument/2006/relationships/footer" Target="footer8.xml" /><Relationship Id="rId17" Type="http://schemas.openxmlformats.org/officeDocument/2006/relationships/footer" Target="footer17.xml" /><Relationship Id="rId21" Type="http://schemas.openxmlformats.org/officeDocument/2006/relationships/footer" Target="footer21.xml" /><Relationship Id="rId7" Type="http://schemas.openxmlformats.org/officeDocument/2006/relationships/header" Target="header7.xml" /><Relationship Id="rId16" Type="http://schemas.openxmlformats.org/officeDocument/2006/relationships/header" Target="header16.xml" /><Relationship Id="rId20" Type="http://schemas.openxmlformats.org/officeDocument/2006/relationships/header" Target="header20.xml" /><Relationship Id="rId6" Type="http://schemas.openxmlformats.org/officeDocument/2006/relationships/footer" Target="footer6.xml" /><Relationship Id="rId5" Type="http://schemas.openxmlformats.org/officeDocument/2006/relationships/header" Target="header5.xml" /><Relationship Id="rId15" Type="http://schemas.openxmlformats.org/officeDocument/2006/relationships/header" Target="header15.xml" /><Relationship Id="rId2" Type="http://schemas.openxmlformats.org/officeDocument/2006/relationships/footer" Target="footer2.xml" /><Relationship Id="rId4" Type="http://schemas.openxmlformats.org/officeDocument/2006/relationships/footer" Target="footer4.xml" /><Relationship Id="rId10" Type="http://schemas.openxmlformats.org/officeDocument/2006/relationships/footer" Target="footer10.xml" /><Relationship Id="rId19" Type="http://schemas.openxmlformats.org/officeDocument/2006/relationships/footer" Target="footer19.xml" /><Relationship Id="rId23" Type="http://schemas.openxmlformats.org/officeDocument/2006/relationships/footer" Target="footer23.xml" /><Relationship Id="rId9" Type="http://schemas.openxmlformats.org/officeDocument/2006/relationships/header" Target="header9.xml" /><Relationship Id="rId18" Type="http://schemas.openxmlformats.org/officeDocument/2006/relationships/header" Target="header18.xml" /><Relationship Id="rId22" Type="http://schemas.openxmlformats.org/officeDocument/2006/relationships/header" Target="header22.xml" /><Relationship Id="rId11" Type="http://schemas.openxmlformats.org/officeDocument/2006/relationships/image" Target="media/image1.jpeg" /><Relationship Id="rId12" Type="http://schemas.openxmlformats.org/officeDocument/2006/relationships/hyperlink" Target="mailto:civilrightscoordinator@hf.org" TargetMode="External" /><Relationship Id="rId13" Type="http://schemas.openxmlformats.org/officeDocument/2006/relationships/hyperlink" Target="https://ocrportal.hhs.gov/ocr/portal/lobby.jsf" TargetMode="External" /><Relationship Id="rId14" Type="http://schemas.openxmlformats.org/officeDocument/2006/relationships/hyperlink" Target="http://www.hhs.gov/ocr/office/file/index.html" TargetMode="External" /></Relationships>
</file>

<file path=word/_rels/header15.xml.rels>&#65279;<?xml version="1.0" encoding="utf-8" standalone="yes"?><Relationships xmlns="http://schemas.openxmlformats.org/package/2006/relationships"><Relationship Id="rId24" Type="http://schemas.openxmlformats.org/officeDocument/2006/relationships/image" Target="media/image2.jpeg" /></Relationships>
</file>

<file path=docProps/app.xml><?xml version="1.0" encoding="utf-8"?>
<Properties xmlns:vt="http://schemas.openxmlformats.org/officeDocument/2006/docPropsVTypes" xmlns="http://schemas.openxmlformats.org/officeDocument/2006/extended-properties">
  <Company>MMIT</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QHP Commercial 5 Tier Formulary</dc:title>
  <dc:subject>Formulary</dc:subject>
  <dc:creator>MMIT</dc:creator>
  <cp:keywords>Formulary</cp:keywords>
</cp:coreProperties>
</file>