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tbl>
      <w:tblPr>
        <w:tblStyle w:val="TableGrid"/>
        <w:jc w:val="lef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2180"/>
        <w:gridCol w:w="6260"/>
        <w:gridCol w:w="6120"/>
      </w:tblGrid>
      <w:tr>
        <w:trPr>
          <w:tblHeader/>
          <w:jc w:val="left"/>
        </w:trPr>
        <w:tc>
          <w:tcPr>
            <w:tcW w:type="dxa" w:w="218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Step Therapy</w:t>
            </w:r>
            <w:r>
              <w:rPr/>
              <w:br/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Group</w:t>
            </w:r>
          </w:p>
        </w:tc>
        <w:tc>
          <w:tcPr>
            <w:tcW w:type="dxa" w:w="6260"/>
            <w:tcBorders>
              <w:top w:val="single" w:color="000000" w:sz="8" w:space="0"/>
              <w:left w:val="single" w:color="E3E3E3" w:sz="4" w:space="0"/>
              <w:bottom w:val="single" w:color="000000" w:sz="8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Algorithm</w:t>
            </w:r>
          </w:p>
        </w:tc>
        <w:tc>
          <w:tcPr>
            <w:tcW w:type="dxa" w:w="6120"/>
            <w:tcBorders>
              <w:top w:val="single" w:color="000000" w:sz="8" w:space="0"/>
              <w:left w:val="single" w:color="FFFFFF" w:sz="4" w:space="0"/>
              <w:bottom w:val="single" w:color="000000" w:sz="8" w:space="0"/>
              <w:right w:val="single" w:color="000000" w:sz="8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Steps</w:t>
            </w:r>
          </w:p>
        </w:tc>
      </w:tr>
      <w:tr>
        <w:trPr>
          <w:trHeight w:val="9200" w:hRule="exact"/>
          <w:jc w:val="left"/>
        </w:trPr>
        <w:tc>
          <w:tcPr>
            <w:tcW w:type="dxa" w:w="218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Fosrenol, Renagel, Renvela</w:t>
            </w:r>
            <w:r>
              <w:rPr/>
              <w:fldChar w:fldCharType="begin"/>
            </w:r>
            <w:r>
              <w:rPr/>
              <w:instrText>XE "FOSRENOL 1,000 MG CHEWABLE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"FOSRENOL 500 MG CHEWABLE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"FOSRENOL 750 MG CHEWABLE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"RENAGEL 800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"RENVELA 0.8 GRAM ORAL POWDER PACKET"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"RENVELA 2.4 GRAM ORAL POWDER PACKET"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"RENVELA 800 MG TABLET"</w:instrText>
            </w:r>
            <w:r>
              <w:rPr/>
              <w:fldChar w:fldCharType="end"/>
            </w:r>
          </w:p>
        </w:tc>
        <w:tc>
          <w:tcPr>
            <w:tcW w:type="dxa" w:w="6260"/>
            <w:tcBorders>
              <w:top w:val="single" w:color="E3E3E3" w:sz="4" w:space="0"/>
              <w:left w:val="single" w:color="E3E3E3" w:sz="4" w:space="0"/>
              <w:bottom w:val="single" w:color="000000" w:sz="8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Step 1 - Member needs to have documented trial of calcium acetate 667 mg in the past 180 days prior to moving to Step 2 drug: Fosrenol, Renagel, or Renvela</w:t>
            </w:r>
          </w:p>
        </w:tc>
        <w:tc>
          <w:tcPr>
            <w:tcW w:type="dxa" w:w="612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Step 2: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 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FOSRENOL 1,000 MG CHEWABLE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FOSRENOL 500 MG CHEWABLE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FOSRENOL 750 MG CHEWABLE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RENAGEL 800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RENVELA 0.8 GRAM ORAL POWDER PACKET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RENVELA 2.4 GRAM ORAL POWDER PACKET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RENVELA 800 MG TABLET</w:t>
            </w:r>
          </w:p>
        </w:tc>
      </w:tr>
      <w:tr>
        <w:trPr>
          <w:trHeight w:val="9200" w:hRule="exact"/>
          <w:jc w:val="left"/>
        </w:trPr>
        <w:tc>
          <w:tcPr>
            <w:tcW w:type="dxa" w:w="218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Oxistat (oxiconazole)</w:t>
            </w:r>
            <w:r>
              <w:rPr/>
              <w:fldChar w:fldCharType="begin"/>
            </w:r>
            <w:r>
              <w:rPr/>
              <w:instrText>XE "oxiconazole 1 % topical cream"</w:instrText>
            </w:r>
            <w:r>
              <w:rPr/>
              <w:fldChar w:fldCharType="end"/>
            </w:r>
          </w:p>
        </w:tc>
        <w:tc>
          <w:tcPr>
            <w:tcW w:type="dxa" w:w="6260"/>
            <w:tcBorders>
              <w:top w:val="single" w:color="E3E3E3" w:sz="4" w:space="0"/>
              <w:left w:val="single" w:color="E3E3E3" w:sz="4" w:space="0"/>
              <w:bottom w:val="single" w:color="000000" w:sz="8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Step 1 - Member needs to have documented trial of ketoconazole AND clotrimazole topical products in the past 180 days prior to moving to Step 2 drug: Oxistat (oxiconazole topical)</w:t>
            </w:r>
          </w:p>
        </w:tc>
        <w:tc>
          <w:tcPr>
            <w:tcW w:type="dxa" w:w="612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Step 2: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  </w:t>
            </w:r>
            <w:r>
              <w:rPr>
                <w:rFonts w:ascii="Arial" w:hAnsi="Arial" w:eastAsia="Arial" w:cs="Arial"/>
                <w:b w:val="0"/>
                <w:i/>
                <w:color w:val="000000"/>
                <w:sz w:val="20"/>
                <w:u w:val="none"/>
              </w:rPr>
              <w:t xml:space="preserve">oxiconazole 1 % topical cream</w:t>
            </w:r>
          </w:p>
        </w:tc>
      </w:tr>
      <w:tr>
        <w:trPr>
          <w:trHeight w:val="9200" w:hRule="exact"/>
          <w:jc w:val="left"/>
        </w:trPr>
        <w:tc>
          <w:tcPr>
            <w:tcW w:type="dxa" w:w="218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Symbicort</w:t>
            </w:r>
            <w:r>
              <w:rPr/>
              <w:fldChar w:fldCharType="begin"/>
            </w:r>
            <w:r>
              <w:rPr/>
              <w:instrText>XE "SYMBICORT 160 MCG-4.5 MCG/ACTUATION HFA AEROSOL INHALER"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"SYMBICORT 80 MCG-4.5 MCG/ACTUATION HFA AEROSOL INHALER"</w:instrText>
            </w:r>
            <w:r>
              <w:rPr/>
              <w:fldChar w:fldCharType="end"/>
            </w:r>
          </w:p>
        </w:tc>
        <w:tc>
          <w:tcPr>
            <w:tcW w:type="dxa" w:w="6260"/>
            <w:tcBorders>
              <w:top w:val="single" w:color="E3E3E3" w:sz="4" w:space="0"/>
              <w:left w:val="single" w:color="E3E3E3" w:sz="4" w:space="0"/>
              <w:bottom w:val="single" w:color="000000" w:sz="8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Must have tried and failed Advair in the past 180 days prior to using Symbicort.</w:t>
            </w:r>
          </w:p>
        </w:tc>
        <w:tc>
          <w:tcPr>
            <w:tcW w:type="dxa" w:w="612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Step 2: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 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SYMBICORT 160 MCG-4.5 MCG/ACTUATION HFA AEROSOL INHALER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SYMBICORT 80 MCG-4.5 MCG/ACTUATION HFA AEROSOL INHALER</w:t>
            </w:r>
          </w:p>
        </w:tc>
      </w:tr>
      <w:tr>
        <w:trPr>
          <w:trHeight w:val="9200" w:hRule="exact"/>
          <w:jc w:val="left"/>
        </w:trPr>
        <w:tc>
          <w:tcPr>
            <w:tcW w:type="dxa" w:w="218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Triptan Therapy</w:t>
            </w:r>
            <w:r>
              <w:rPr/>
              <w:fldChar w:fldCharType="begin"/>
            </w:r>
            <w:r>
              <w:rPr/>
              <w:instrText>XE "almotriptan malate 12.5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"almotriptan malate 6.25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"frovatriptan 2.5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"naratriptan 1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"naratriptan 2.5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"RELPAX 20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"RELPAX 40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"zolmitriptan 2.5 mg disintegrating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"zolmitriptan 2.5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"zolmitriptan 5 mg disintegrating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"zolmitriptan 5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"ZOMIG 2.5 MG NASAL SPRAY"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"ZOMIG 5 MG NASAL SPRAY"</w:instrText>
            </w:r>
            <w:r>
              <w:rPr/>
              <w:fldChar w:fldCharType="end"/>
            </w:r>
          </w:p>
        </w:tc>
        <w:tc>
          <w:tcPr>
            <w:tcW w:type="dxa" w:w="6260"/>
            <w:tcBorders>
              <w:top w:val="single" w:color="E3E3E3" w:sz="4" w:space="0"/>
              <w:left w:val="single" w:color="E3E3E3" w:sz="4" w:space="0"/>
              <w:bottom w:val="single" w:color="000000" w:sz="8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Step 1 - Member needs to have documented trial of sumatriptan (tablets, subcutaneous) in the last 180 days prior to moving to Step 2 drug: almotriptan tablets, frovatriptan tablets, naratriptan tablets, Relpax tablets, rizatriptan, rizatriptan ODT, zolmitriptan, zolmitriptan ODT, Zomig Nasal Spray</w:t>
            </w:r>
          </w:p>
        </w:tc>
        <w:tc>
          <w:tcPr>
            <w:tcW w:type="dxa" w:w="612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Step 2: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  </w:t>
            </w:r>
            <w:r>
              <w:rPr>
                <w:rFonts w:ascii="Arial" w:hAnsi="Arial" w:eastAsia="Arial" w:cs="Arial"/>
                <w:b w:val="0"/>
                <w:i/>
                <w:color w:val="000000"/>
                <w:sz w:val="20"/>
                <w:u w:val="none"/>
              </w:rPr>
              <w:t xml:space="preserve">almotriptan malate 12.5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 w:val="0"/>
                <w:i/>
                <w:color w:val="000000"/>
                <w:sz w:val="20"/>
                <w:u w:val="none"/>
              </w:rPr>
              <w:t xml:space="preserve">almotriptan malate 6.25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 w:val="0"/>
                <w:i/>
                <w:color w:val="000000"/>
                <w:sz w:val="20"/>
                <w:u w:val="none"/>
              </w:rPr>
              <w:t xml:space="preserve">frovatriptan 2.5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 w:val="0"/>
                <w:i/>
                <w:color w:val="000000"/>
                <w:sz w:val="20"/>
                <w:u w:val="none"/>
              </w:rPr>
              <w:t xml:space="preserve">naratriptan 1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 w:val="0"/>
                <w:i/>
                <w:color w:val="000000"/>
                <w:sz w:val="20"/>
                <w:u w:val="none"/>
              </w:rPr>
              <w:t xml:space="preserve">naratriptan 2.5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RELPAX 20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RELPAX 40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 w:val="0"/>
                <w:i/>
                <w:color w:val="000000"/>
                <w:sz w:val="20"/>
                <w:u w:val="none"/>
              </w:rPr>
              <w:t xml:space="preserve">zolmitriptan 2.5 mg disintegrating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 w:val="0"/>
                <w:i/>
                <w:color w:val="000000"/>
                <w:sz w:val="20"/>
                <w:u w:val="none"/>
              </w:rPr>
              <w:t xml:space="preserve">zolmitriptan 2.5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 w:val="0"/>
                <w:i/>
                <w:color w:val="000000"/>
                <w:sz w:val="20"/>
                <w:u w:val="none"/>
              </w:rPr>
              <w:t xml:space="preserve">zolmitriptan 5 mg disintegrating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 w:val="0"/>
                <w:i/>
                <w:color w:val="000000"/>
                <w:sz w:val="20"/>
                <w:u w:val="none"/>
              </w:rPr>
              <w:t xml:space="preserve">zolmitriptan 5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ZOMIG 2.5 MG NASAL SPRAY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ZOMIG 5 MG NASAL SPRAY</w:t>
            </w:r>
          </w:p>
        </w:tc>
      </w:tr>
      <w:tr>
        <w:trPr>
          <w:trHeight w:val="9200" w:hRule="exact"/>
          <w:jc w:val="left"/>
        </w:trPr>
        <w:tc>
          <w:tcPr>
            <w:tcW w:type="dxa" w:w="218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Uloric</w:t>
            </w:r>
            <w:r>
              <w:rPr/>
              <w:fldChar w:fldCharType="begin"/>
            </w:r>
            <w:r>
              <w:rPr/>
              <w:instrText>XE "ULORIC 40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"ULORIC 80 MG TABLET"</w:instrText>
            </w:r>
            <w:r>
              <w:rPr/>
              <w:fldChar w:fldCharType="end"/>
            </w:r>
          </w:p>
        </w:tc>
        <w:tc>
          <w:tcPr>
            <w:tcW w:type="dxa" w:w="6260"/>
            <w:tcBorders>
              <w:top w:val="single" w:color="E3E3E3" w:sz="4" w:space="0"/>
              <w:left w:val="single" w:color="E3E3E3" w:sz="4" w:space="0"/>
              <w:bottom w:val="single" w:color="000000" w:sz="8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Step 1 - Member needs to have documented trial of allopurinol in the past 180 days prior to moving to Step 2 drug: Uloric</w:t>
            </w:r>
          </w:p>
        </w:tc>
        <w:tc>
          <w:tcPr>
            <w:tcW w:type="dxa" w:w="612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Step 2: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 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ULORIC 40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ULORIC 80 MG TABLET</w:t>
            </w:r>
          </w:p>
        </w:tc>
      </w:tr>
      <w:tr>
        <w:trPr>
          <w:trHeight w:val="9200" w:hRule="exact"/>
          <w:jc w:val="left"/>
        </w:trPr>
        <w:tc>
          <w:tcPr>
            <w:tcW w:type="dxa" w:w="218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Viibryd</w:t>
            </w:r>
            <w:r>
              <w:rPr/>
              <w:fldChar w:fldCharType="begin"/>
            </w:r>
            <w:r>
              <w:rPr/>
              <w:instrText>XE "VIIBRYD 10 MG (7)-20 MG (23) TABLETS IN A DOSE PACK"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"VIIBRYD 10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"VIIBRYD 20 MG TABLET"</w:instrText>
            </w:r>
            <w:r>
              <w:rPr/>
              <w:fldChar w:fldCharType="end"/>
            </w:r>
            <w:r>
              <w:rPr/>
              <w:fldChar w:fldCharType="begin"/>
            </w:r>
            <w:r>
              <w:rPr/>
              <w:instrText>XE "VIIBRYD 40 MG TABLET"</w:instrText>
            </w:r>
            <w:r>
              <w:rPr/>
              <w:fldChar w:fldCharType="end"/>
            </w:r>
          </w:p>
        </w:tc>
        <w:tc>
          <w:tcPr>
            <w:tcW w:type="dxa" w:w="6260"/>
            <w:tcBorders>
              <w:top w:val="single" w:color="E3E3E3" w:sz="4" w:space="0"/>
              <w:left w:val="single" w:color="E3E3E3" w:sz="4" w:space="0"/>
              <w:bottom w:val="single" w:color="000000" w:sz="8" w:space="0"/>
              <w:right w:val="single" w:color="E3E3E3" w:sz="4" w:space="0"/>
            </w:tcBorders>
            <w:shd w:fill="E3E3E3" w:color="auto" w:val="clear"/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Step 1 - Member needs to have documented trial of any two (2) of the following drugs: bupropion, citalopram, duloxetine, escitalopram, fluoxetine, mirtazapine, paroxetine, sertraline, trazodone, venlafaxine in the last 1 year prior to moving to Step 2 drug: Viibryd</w:t>
            </w:r>
          </w:p>
        </w:tc>
        <w:tc>
          <w:tcPr>
            <w:tcW w:type="dxa" w:w="6120"/>
            <w:tcBorders>
              <w:top w:val="single" w:color="FFFFFF" w:sz="4" w:space="0"/>
              <w:left w:val="single" w:color="FFFFFF" w:sz="4" w:space="0"/>
              <w:bottom w:val="single" w:color="000000" w:sz="8" w:space="0"/>
              <w:right w:val="single" w:color="FFFFFF" w:sz="4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>
            <w:pPr>
              <w:spacing w:before="0" w:after="0"/>
              <w:jc w:val="left"/>
              <w:rPr/>
            </w:pP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Step 2: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 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VIIBRYD 10 MG (7)-20 MG (23) TABLETS IN A DOSE PACK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VIIBRYD 10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VIIBRYD 20 MG TABLET</w:t>
            </w:r>
            <w:r>
              <w:rPr>
                <w:rFonts w:ascii="Arial" w:hAnsi="Arial" w:eastAsia="Arial" w:cs="Arial"/>
                <w:b w:val="0"/>
                <w:i w:val="0"/>
                <w:color w:val="000000"/>
                <w:sz w:val="20"/>
                <w:u w:val="none"/>
              </w:rPr>
              <w:t xml:space="preserve">, </w:t>
            </w:r>
            <w:r>
              <w:rPr>
                <w:rFonts w:ascii="Arial" w:hAnsi="Arial" w:eastAsia="Arial" w:cs="Arial"/>
                <w:b/>
                <w:i w:val="0"/>
                <w:color w:val="000000"/>
                <w:sz w:val="20"/>
                <w:u w:val="none"/>
              </w:rPr>
              <w:t xml:space="preserve">VIIBRYD 40 MG TABLET</w:t>
            </w:r>
          </w:p>
        </w:tc>
      </w:tr>
    </w:tbl>
    <w:p>
      <w:pPr>
        <w:spacing/>
        <w:rPr/>
        <w:sectPr>
          <w:footerReference w:type="even" r:id="rId1"/>
          <w:footerReference w:type="default" r:id="rId2"/>
          <w:type w:val="nextPage"/>
          <w:pgSz w:w="15840" w:h="12240" w:orient="landscape"/>
          <w:pgMar w:top="640" w:right="640" w:bottom="640" w:left="640" w:gutter="0"/>
          <w:pgBorders/>
          <w:pgNumType w:fmt="decimal"/>
          <w:cols w:num="1" w:equalWidth="1" w:space="720"/>
        </w:sectPr>
      </w:pPr>
    </w:p>
    <w:p>
      <w:pPr>
        <w:spacing w:before="0" w:after="0"/>
        <w:ind w:left="0"/>
        <w:jc w:val="left"/>
        <w:rPr/>
      </w:pPr>
      <w:r>
        <w:rPr>
          <w:rFonts w:ascii="Arial" w:hAnsi="Arial" w:eastAsia="Arial" w:cs="Arial"/>
          <w:b/>
          <w:i w:val="0"/>
          <w:color w:val="000000"/>
          <w:sz w:val="21"/>
          <w:u w:val="none"/>
        </w:rPr>
        <w:t xml:space="preserve">Index</w:t>
      </w:r>
    </w:p>
    <w:p>
      <w:pPr>
        <w:spacing w:before="0" w:after="0"/>
        <w:jc w:val="left"/>
        <w:rPr/>
        <w:sectPr>
          <w:footerReference w:type="even" r:id="rId3"/>
          <w:footerReference w:type="default" r:id="rId4"/>
          <w:type w:val="nextPage"/>
          <w:pgSz w:w="15840" w:h="12240" w:orient="landscape"/>
          <w:pgMar w:top="640" w:right="640" w:bottom="640" w:left="640" w:gutter="0"/>
          <w:pgBorders/>
          <w:pgNumType w:fmt="decimal"/>
          <w:cols w:num="1" w:equalWidth="1" w:space="720"/>
        </w:sectPr>
      </w:pPr>
      <w:r>
        <w:rPr/>
        <w:fldChar w:fldCharType="begin"/>
      </w:r>
      <w:r>
        <w:rPr/>
        <w:instrText>INDEX \e "</w:instrText>
      </w:r>
      <w:r>
        <w:rPr/>
        <w:tab/>
        <w:t xml:space="preserve"/>
      </w:r>
      <w:r>
        <w:rPr/>
        <w:t xml:space="preserve">" \c "3" \h "A"  \z "1033" </w:t>
      </w:r>
      <w:r>
        <w:rPr/>
        <w:fldChar w:fldCharType="separate"/>
      </w:r>
      <w:r>
        <w:rPr/>
        <w:t xml:space="preserve">INDEX \e "</w:t>
      </w:r>
      <w:r>
        <w:rPr/>
        <w:tab/>
        <w:t xml:space="preserve"/>
      </w:r>
      <w:r>
        <w:rPr/>
        <w:t xml:space="preserve">" \c "3" \h "A"  \z "1033" </w:t>
      </w:r>
      <w:r>
        <w:rPr/>
        <w:fldChar w:fldCharType="end"/>
      </w: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  <w:r>
        <w:rPr/>
        <w:t xml:space="preserve">For more recent information or other questions, please contact Health First Health Plans Customer Service at 1.800.716.7737 or, for TTY users, 1.800.955.8771, weekdays from 8 a.m. to 8 p.m. and Saturdays from 8 a.m. to noon. From October 1 through March 31, we are available seven days a week from 8 a.m. to 8 p.m. or visit myHFHP.org. </w:t>
      </w: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  <w:r>
        <w:rPr/>
        <w:t xml:space="preserve">Customer Service has language interpreter services available for non-English speakers at no cost. </w:t>
      </w: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  <w:r>
        <w:rPr/>
        <w:t xml:space="preserve">This information is also available at no cost in other formats. By contacting Customer Service you may request your materials be read aloud, emailed, or mailed in large print. </w:t>
      </w: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  <w:r>
        <w:rPr/>
        <w:t xml:space="preserve">You must generally use network pharmacies to use your prescription drug benefit. Benefits, formulary, pharmacy network, premium and/or copayments/coinsurance may change on January 1, 2021, and from time to time during the year. </w:t>
      </w: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  <w:r>
        <w:rPr/>
        <w:t xml:space="preserve">Health First Health Plans is an HMO plan with a Medicare contract. Enrollment in Health First Health Plans depends on contract renewal. </w:t>
      </w: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  <w:r>
        <w:rPr/>
        <w:t xml:space="preserve">The Formulary, pharmacy network, may change at any time. You will receive notice when necessary.</w:t>
      </w: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jc w:val="center"/>
        <w:rPr>
          <w:iCs/>
          <w:lang w:val="en-US" w:eastAsia="ar-SA"/>
        </w:rPr>
      </w:pPr>
      <w:bookmarkStart w:id="2" w:name="_GoBack"/>
      <w:bookmarkEnd w:id="2"/>
      <w:r>
        <w:rPr>
          <w:iCs/>
        </w:rPr>
        <w:t xml:space="preserve">Nondiscrimination Notice</w:t>
      </w:r>
    </w:p>
    <w:p>
      <w:pPr>
        <w:pStyle w:val="Normal_5eeb4992-7fe2-4888-9340-0991670ceec1"/>
        <w:spacing w:before="0" w:after="0" w:line="240" w:lineRule="auto"/>
        <w:jc w:val="center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Health First Health Plans complies with applicable Federal civil rights laws and does not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discriminate on the basis of race, color, national origin, age, disability or sex. Health First Health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Plans does not exclude people or treat them differently because of race, color, national origin,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age, disability or sex.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Health First Health Plans: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▪ Provides free aids and services to people with disabilities to communicate effectively with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us, such as:</w:t>
      </w:r>
    </w:p>
    <w:p>
      <w:pPr>
        <w:pStyle w:val="Normal_5eeb4992-7fe2-4888-9340-0991670ceec1"/>
        <w:spacing w:before="0" w:after="0" w:line="240" w:lineRule="auto"/>
        <w:ind w:firstLine="720"/>
        <w:rPr>
          <w:iCs/>
          <w:lang w:val="en-US" w:eastAsia="ar-SA"/>
        </w:rPr>
      </w:pPr>
      <w:r>
        <w:rPr>
          <w:iCs/>
        </w:rPr>
        <w:t xml:space="preserve">▪ Qualified sign language interpreters</w:t>
      </w:r>
    </w:p>
    <w:p>
      <w:pPr>
        <w:pStyle w:val="Normal_5eeb4992-7fe2-4888-9340-0991670ceec1"/>
        <w:spacing w:before="0" w:after="0" w:line="240" w:lineRule="auto"/>
        <w:ind w:firstLine="720"/>
        <w:rPr>
          <w:iCs/>
          <w:lang w:val="en-US" w:eastAsia="ar-SA"/>
        </w:rPr>
      </w:pPr>
      <w:r>
        <w:rPr>
          <w:iCs/>
        </w:rPr>
        <w:t xml:space="preserve">▪ Written information in other formats (large print, accessible electronic formats)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▪ Provides free language services to people whose primary language is not English, such as:</w:t>
      </w:r>
    </w:p>
    <w:p>
      <w:pPr>
        <w:pStyle w:val="Normal_5eeb4992-7fe2-4888-9340-0991670ceec1"/>
        <w:spacing w:before="0" w:after="0" w:line="240" w:lineRule="auto"/>
        <w:ind w:firstLine="720"/>
        <w:rPr>
          <w:iCs/>
          <w:lang w:val="en-US" w:eastAsia="ar-SA"/>
        </w:rPr>
      </w:pPr>
      <w:r>
        <w:rPr>
          <w:iCs/>
        </w:rPr>
        <w:t xml:space="preserve">▪ Qualified interpreters</w:t>
      </w:r>
    </w:p>
    <w:p>
      <w:pPr>
        <w:pStyle w:val="Normal_5eeb4992-7fe2-4888-9340-0991670ceec1"/>
        <w:spacing w:before="0" w:after="0" w:line="240" w:lineRule="auto"/>
        <w:ind w:firstLine="720"/>
        <w:rPr>
          <w:iCs/>
          <w:lang w:val="en-US" w:eastAsia="ar-SA"/>
        </w:rPr>
      </w:pPr>
      <w:r>
        <w:rPr>
          <w:iCs/>
        </w:rPr>
        <w:t xml:space="preserve">▪ Information written in other languages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If you need these services, please contact Civil Rights Coordinator.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If you believe that Health First Health Plans has failed to provide these services or discriminated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in another way on the basis of race, color, national origin, age, disability, or sex, you can file a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grievance with: Civil Rights Coordinator, 6450 US Highway 1, Rockledge, FL 32955, 321-434-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4521, 1-800-955-8771 (TTY), Fax: 321-434-4362, </w:t>
      </w:r>
      <w:hyperlink r:id="rId5" w:history="1">
        <w:r>
          <w:rPr>
            <w:rStyle w:val="Hyperlink"/>
            <w:iCs/>
            <w:lang w:val="en-US" w:eastAsia="ar-SA"/>
          </w:rPr>
          <w:t xml:space="preserve">civilrightscoordinator@health-first.org</w:t>
        </w:r>
      </w:hyperlink>
      <w:r>
        <w:rPr>
          <w:iCs/>
        </w:rPr>
        <w:t xml:space="preserve">.</w:t>
      </w:r>
      <w:r>
        <w:rPr>
          <w:iCs/>
        </w:rPr>
        <w:t xml:space="preserve"> You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can file a grievance in person or by mail, fax or email. If you need help filing a grievance our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Civil Rights Coordinator, is available to help you.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You can also file a civil rights complaint with the U.S. Department of Health and Human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Services, Office for Civil Rights electronically through the Office for Civil Rights Complaint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Portal, available at </w:t>
      </w:r>
      <w:hyperlink r:id="rId6" w:history="1">
        <w:r>
          <w:rPr>
            <w:rStyle w:val="Hyperlink"/>
            <w:iCs/>
            <w:lang w:val="en-US" w:eastAsia="ar-SA"/>
          </w:rPr>
          <w:t xml:space="preserve">https://ocrportal.hhs.gov/ocr/portal/lobby.jsf</w:t>
        </w:r>
      </w:hyperlink>
      <w:r>
        <w:rPr>
          <w:iCs/>
        </w:rPr>
        <w:t xml:space="preserve">,</w:t>
      </w:r>
      <w:r>
        <w:rPr>
          <w:iCs/>
        </w:rPr>
        <w:t xml:space="preserve"> or by mail or phone at: U.S.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Department of Health and Human Services, 200 Independence Avenue SW., Room 509F, HHH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Building, Washington, DC 20201, 1-800-368-1019, 800-537-7697 (TDD).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Complaint forms are available at </w:t>
      </w:r>
      <w:hyperlink r:id="rId7" w:history="1">
        <w:r>
          <w:rPr>
            <w:rStyle w:val="Hyperlink"/>
            <w:iCs/>
            <w:lang w:val="en-US" w:eastAsia="ar-SA"/>
          </w:rPr>
          <w:t xml:space="preserve">http://www.hhs.gov/ocr/office/file/index.html</w:t>
        </w:r>
      </w:hyperlink>
      <w:r>
        <w:rPr>
          <w:iCs/>
        </w:rPr>
        <w:t xml:space="preserve">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Health First Health Plans is an HMO plan with a Medicare contract. Enrollment in Health First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Health Plans depends on contract renewal.</w:t>
      </w: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b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English:</w:t>
      </w:r>
      <w:r>
        <w:rPr>
          <w:iCs/>
        </w:rPr>
        <w:t xml:space="preserve"> ATTENTION: If you speak English, language assistance services, free of charge, are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available to you. Call 1-800-716-7737 (TTY: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Spanish:</w:t>
      </w:r>
      <w:r>
        <w:rPr>
          <w:iCs/>
        </w:rPr>
        <w:t xml:space="preserve"> ATENCIÓN: si habla español, tiene a su disposición servicios gratuitos de asistencia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lingüística. Llame al 1-800-716-7737 (TTY: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French Creole:</w:t>
      </w:r>
      <w:r>
        <w:rPr>
          <w:iCs/>
        </w:rPr>
        <w:t xml:space="preserve"> ATANSYON: Si w pale Kreyòl Ayisyen, gen sèvis èd pou lang ki disponib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gratis pou ou. Rele 1-800-716-7737 (TTY: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Vietnamese:</w:t>
      </w:r>
      <w:r>
        <w:rPr>
          <w:iCs/>
        </w:rPr>
        <w:t xml:space="preserve"> CHÚ Ý: Nếu bạn nói Tiếng Việt, có các dịch vụ hỗ trợ ngôn ngữ miễn phí dành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cho bạn. Gọi số 1-800-716-7737 (TTY: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Portuguese:</w:t>
      </w:r>
      <w:r>
        <w:rPr>
          <w:iCs/>
        </w:rPr>
        <w:t xml:space="preserve"> ATENÇÃO: Se fala português, encontram-se disponíveis serviços linguísticos,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grátis. Ligue para 1-800-716-7737 (TTY: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Chinese:</w:t>
      </w:r>
      <w:r>
        <w:rPr>
          <w:iCs/>
        </w:rPr>
        <w:t xml:space="preserve"> </w:t>
      </w:r>
      <w:r>
        <w:rPr>
          <w:rFonts w:ascii="MS Mincho" w:hAnsi="MS Mincho" w:eastAsia="MS Mincho" w:cs="MS Mincho" w:hint="eastAsia"/>
          <w:iCs/>
        </w:rPr>
        <w:t xml:space="preserve">注意：如果您使用繁體中文，您可以免費獲得語言援助服務。請致電</w:t>
      </w:r>
      <w:r>
        <w:rPr>
          <w:iCs/>
        </w:rPr>
        <w:t xml:space="preserve"> 1-800-716-</w:t>
      </w:r>
    </w:p>
    <w:p>
      <w:pPr>
        <w:pStyle w:val="Normal_5eeb4992-7fe2-4888-9340-0991670ceec1"/>
        <w:spacing w:before="0" w:after="0" w:line="240" w:lineRule="auto"/>
        <w:rPr>
          <w:rFonts w:ascii="MS Mincho" w:hAnsi="MS Mincho" w:eastAsia="MS Mincho" w:cs="MS Mincho"/>
          <w:iCs/>
          <w:lang w:val="en-US" w:eastAsia="ar-SA"/>
        </w:rPr>
      </w:pPr>
      <w:r>
        <w:rPr>
          <w:iCs/>
        </w:rPr>
        <w:t xml:space="preserve">7737</w:t>
      </w:r>
      <w:r>
        <w:rPr>
          <w:rFonts w:ascii="MS Mincho" w:hAnsi="MS Mincho" w:eastAsia="MS Mincho" w:cs="MS Mincho" w:hint="eastAsia"/>
          <w:iCs/>
        </w:rPr>
        <w:t xml:space="preserve">（</w:t>
      </w:r>
      <w:r>
        <w:rPr>
          <w:iCs/>
        </w:rPr>
        <w:t xml:space="preserve">TTY</w:t>
      </w:r>
      <w:r>
        <w:rPr>
          <w:rFonts w:ascii="MS Mincho" w:hAnsi="MS Mincho" w:eastAsia="MS Mincho" w:cs="MS Mincho" w:hint="eastAsia"/>
          <w:iCs/>
        </w:rPr>
        <w:t xml:space="preserve">：</w:t>
      </w:r>
      <w:r>
        <w:rPr>
          <w:iCs/>
        </w:rPr>
        <w:t xml:space="preserve">1-800-955-8771</w:t>
      </w:r>
      <w:r>
        <w:rPr>
          <w:rFonts w:ascii="MS Mincho" w:hAnsi="MS Mincho" w:eastAsia="MS Mincho" w:cs="MS Mincho" w:hint="eastAsia"/>
          <w:iCs/>
        </w:rPr>
        <w:t xml:space="preserve">）。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French:</w:t>
      </w:r>
      <w:r>
        <w:rPr>
          <w:iCs/>
        </w:rPr>
        <w:t xml:space="preserve"> ATTENTION : Si vous parlez français, des services d'aide linguistique vous sont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proposés gratuitement. Appelez le 1-800-716-7737 (ATS 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Tagalog:</w:t>
      </w:r>
      <w:r>
        <w:rPr>
          <w:iCs/>
        </w:rPr>
        <w:t xml:space="preserve"> PAUNAWA: Kung nagsasalita ka ng Tagalog, maaari kang gumamit ng mga serbisyo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ng tulong sa wika nang walang bayad. Tumawag sa 1-800-716-7737 (TTY: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Russian:</w:t>
      </w:r>
      <w:r>
        <w:rPr>
          <w:iCs/>
        </w:rPr>
        <w:t xml:space="preserve"> ВНИМАНИЕ: Если вы говорите на русском языке, то вам доступны бесплатные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rFonts w:hint="eastAsia"/>
          <w:iCs/>
        </w:rPr>
        <w:t xml:space="preserve">услуги</w:t>
      </w:r>
      <w:r>
        <w:rPr>
          <w:iCs/>
        </w:rPr>
        <w:t xml:space="preserve"> перевода. Звоните 1-800-716-7737 (телетайп: 1-800-955-8771).</w:t>
      </w:r>
    </w:p>
    <w:p>
      <w:pPr>
        <w:pStyle w:val="Normal_5eeb4992-7fe2-4888-9340-0991670ceec1"/>
        <w:spacing w:before="0" w:after="0" w:line="240" w:lineRule="auto"/>
        <w:rPr>
          <w:b/>
          <w:iCs/>
          <w:lang w:val="en-US" w:eastAsia="ar-SA"/>
        </w:rPr>
      </w:pPr>
      <w:r>
        <w:rPr>
          <w:b/>
          <w:iCs/>
        </w:rPr>
        <w:t xml:space="preserve">Arabic: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rFonts w:hint="eastAsia"/>
          <w:iCs/>
        </w:rPr>
        <w:t xml:space="preserve">ملحوظة</w:t>
      </w:r>
      <w:r>
        <w:rPr>
          <w:iCs/>
        </w:rPr>
        <w:t xml:space="preserve">: إذا كنت تتحدث اذكر اللغة، فإن خدمات المساعدة اللغوية تتوافر لك بالمجان. اتصل برقم 1-7737-716-800( رقم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.)800-955-8771-1 :والبكم الصم هاتف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Italian:</w:t>
      </w:r>
      <w:r>
        <w:rPr>
          <w:iCs/>
        </w:rPr>
        <w:t xml:space="preserve"> ATTENZIONE: In caso la lingua parlata sia l'italiano, sono disponibili servizi di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assistenza linguistica gratuiti. Chiamare il numero 1-800-716-7737 (TTY: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German:</w:t>
      </w:r>
      <w:r>
        <w:rPr>
          <w:iCs/>
        </w:rPr>
        <w:t xml:space="preserve"> ACHTUNG: Wenn Sie Deutsch sprechen, stehen Ihnen kostenlos sprachliche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Hilfsdienstleistungen zur Verfügung. Rufnummer: 1-800-716-7737 (TTY: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Korean:</w:t>
      </w:r>
      <w:r>
        <w:rPr>
          <w:iCs/>
        </w:rPr>
        <w:t xml:space="preserve"> </w:t>
      </w:r>
      <w:r>
        <w:rPr>
          <w:rFonts w:ascii="Batang" w:hAnsi="Batang" w:eastAsia="Batang" w:cs="Batang" w:hint="eastAsia"/>
          <w:iCs/>
        </w:rPr>
        <w:t xml:space="preserve">주의</w:t>
      </w:r>
      <w:r>
        <w:rPr>
          <w:iCs/>
        </w:rPr>
        <w:t xml:space="preserve">: </w:t>
      </w:r>
      <w:r>
        <w:rPr>
          <w:rFonts w:ascii="Batang" w:hAnsi="Batang" w:eastAsia="Batang" w:cs="Batang" w:hint="eastAsia"/>
          <w:iCs/>
        </w:rPr>
        <w:t xml:space="preserve">한국어를</w:t>
      </w:r>
      <w:r>
        <w:rPr>
          <w:iCs/>
        </w:rPr>
        <w:t xml:space="preserve"> </w:t>
      </w:r>
      <w:r>
        <w:rPr>
          <w:rFonts w:ascii="Batang" w:hAnsi="Batang" w:eastAsia="Batang" w:cs="Batang" w:hint="eastAsia"/>
          <w:iCs/>
        </w:rPr>
        <w:t xml:space="preserve">사용하시는</w:t>
      </w:r>
      <w:r>
        <w:rPr>
          <w:iCs/>
        </w:rPr>
        <w:t xml:space="preserve"> </w:t>
      </w:r>
      <w:r>
        <w:rPr>
          <w:rFonts w:ascii="Batang" w:hAnsi="Batang" w:eastAsia="Batang" w:cs="Batang" w:hint="eastAsia"/>
          <w:iCs/>
        </w:rPr>
        <w:t xml:space="preserve">경우</w:t>
      </w:r>
      <w:r>
        <w:rPr>
          <w:iCs/>
        </w:rPr>
        <w:t xml:space="preserve">, </w:t>
      </w:r>
      <w:r>
        <w:rPr>
          <w:rFonts w:ascii="Batang" w:hAnsi="Batang" w:eastAsia="Batang" w:cs="Batang" w:hint="eastAsia"/>
          <w:iCs/>
        </w:rPr>
        <w:t xml:space="preserve">언어</w:t>
      </w:r>
      <w:r>
        <w:rPr>
          <w:iCs/>
        </w:rPr>
        <w:t xml:space="preserve"> </w:t>
      </w:r>
      <w:r>
        <w:rPr>
          <w:rFonts w:ascii="Batang" w:hAnsi="Batang" w:eastAsia="Batang" w:cs="Batang" w:hint="eastAsia"/>
          <w:iCs/>
        </w:rPr>
        <w:t xml:space="preserve">지원</w:t>
      </w:r>
      <w:r>
        <w:rPr>
          <w:iCs/>
        </w:rPr>
        <w:t xml:space="preserve"> </w:t>
      </w:r>
      <w:r>
        <w:rPr>
          <w:rFonts w:ascii="Batang" w:hAnsi="Batang" w:eastAsia="Batang" w:cs="Batang" w:hint="eastAsia"/>
          <w:iCs/>
        </w:rPr>
        <w:t xml:space="preserve">서비스를</w:t>
      </w:r>
      <w:r>
        <w:rPr>
          <w:iCs/>
        </w:rPr>
        <w:t xml:space="preserve"> </w:t>
      </w:r>
      <w:r>
        <w:rPr>
          <w:rFonts w:ascii="Batang" w:hAnsi="Batang" w:eastAsia="Batang" w:cs="Batang" w:hint="eastAsia"/>
          <w:iCs/>
        </w:rPr>
        <w:t xml:space="preserve">무료로</w:t>
      </w:r>
      <w:r>
        <w:rPr>
          <w:iCs/>
        </w:rPr>
        <w:t xml:space="preserve"> </w:t>
      </w:r>
      <w:r>
        <w:rPr>
          <w:rFonts w:ascii="Batang" w:hAnsi="Batang" w:eastAsia="Batang" w:cs="Batang" w:hint="eastAsia"/>
          <w:iCs/>
        </w:rPr>
        <w:t xml:space="preserve">이용하실</w:t>
      </w:r>
      <w:r>
        <w:rPr>
          <w:iCs/>
        </w:rPr>
        <w:t xml:space="preserve"> </w:t>
      </w:r>
      <w:r>
        <w:rPr>
          <w:rFonts w:ascii="Batang" w:hAnsi="Batang" w:eastAsia="Batang" w:cs="Batang" w:hint="eastAsia"/>
          <w:iCs/>
        </w:rPr>
        <w:t xml:space="preserve">수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rFonts w:ascii="Batang" w:hAnsi="Batang" w:eastAsia="Batang" w:cs="Batang" w:hint="eastAsia"/>
          <w:iCs/>
        </w:rPr>
        <w:t xml:space="preserve">있습니다</w:t>
      </w:r>
      <w:r>
        <w:rPr>
          <w:iCs/>
        </w:rPr>
        <w:t xml:space="preserve">. 1-800-716-7737 (TTY: 1-800-955-8771)</w:t>
      </w:r>
      <w:r>
        <w:rPr>
          <w:rFonts w:ascii="Batang" w:hAnsi="Batang" w:eastAsia="Batang" w:cs="Batang" w:hint="eastAsia"/>
          <w:iCs/>
        </w:rPr>
        <w:t xml:space="preserve">번으로</w:t>
      </w:r>
      <w:r>
        <w:rPr>
          <w:iCs/>
        </w:rPr>
        <w:t xml:space="preserve"> </w:t>
      </w:r>
      <w:r>
        <w:rPr>
          <w:rFonts w:ascii="Batang" w:hAnsi="Batang" w:eastAsia="Batang" w:cs="Batang" w:hint="eastAsia"/>
          <w:iCs/>
        </w:rPr>
        <w:t xml:space="preserve">전화해</w:t>
      </w:r>
      <w:r>
        <w:rPr>
          <w:iCs/>
        </w:rPr>
        <w:t xml:space="preserve"> </w:t>
      </w:r>
      <w:r>
        <w:rPr>
          <w:rFonts w:ascii="Batang" w:hAnsi="Batang" w:eastAsia="Batang" w:cs="Batang" w:hint="eastAsia"/>
          <w:iCs/>
        </w:rPr>
        <w:t xml:space="preserve">주십시오</w:t>
      </w:r>
      <w:r>
        <w:rPr>
          <w:iCs/>
        </w:rPr>
        <w:t xml:space="preserve">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Polish:</w:t>
      </w:r>
      <w:r>
        <w:rPr>
          <w:iCs/>
        </w:rPr>
        <w:t xml:space="preserve"> UWAGA: Jeżeli mówisz po polsku, możesz skorzystać z bezpłatnej pomocy językowej.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Zadzwoń pod numer 1-800-716-7737 (TTY: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Gujarati: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સચુ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ના</w:t>
      </w:r>
      <w:r>
        <w:rPr>
          <w:iCs/>
        </w:rPr>
        <w:t xml:space="preserve">: </w:t>
      </w:r>
      <w:r>
        <w:rPr>
          <w:rFonts w:ascii="Shruti" w:hAnsi="Shruti" w:eastAsia="Shruti" w:cs="Shruti"/>
          <w:iCs/>
        </w:rPr>
        <w:t xml:space="preserve">જો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તમેગજુ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રાતી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બોલતા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હો</w:t>
      </w:r>
      <w:r>
        <w:rPr>
          <w:iCs/>
        </w:rPr>
        <w:t xml:space="preserve">, </w:t>
      </w:r>
      <w:r>
        <w:rPr>
          <w:rFonts w:ascii="Shruti" w:hAnsi="Shruti" w:eastAsia="Shruti" w:cs="Shruti"/>
          <w:iCs/>
        </w:rPr>
        <w:t xml:space="preserve">તો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નન</w:t>
      </w:r>
      <w:r>
        <w:rPr>
          <w:iCs/>
        </w:rPr>
        <w:t xml:space="preserve">:</w:t>
      </w:r>
      <w:r>
        <w:rPr>
          <w:rFonts w:ascii="Shruti" w:hAnsi="Shruti" w:eastAsia="Shruti" w:cs="Shruti"/>
          <w:iCs/>
        </w:rPr>
        <w:t xml:space="preserve">શલ્ુક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ભાષા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સહાય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સેવાઓ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તમારા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માટે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rFonts w:ascii="Shruti" w:hAnsi="Shruti" w:eastAsia="Shruti" w:cs="Shruti"/>
          <w:iCs/>
        </w:rPr>
        <w:t xml:space="preserve">ઉપલબ્ધ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છે</w:t>
      </w:r>
      <w:r>
        <w:rPr>
          <w:iCs/>
        </w:rPr>
        <w:t xml:space="preserve">. </w:t>
      </w:r>
      <w:r>
        <w:rPr>
          <w:rFonts w:ascii="Shruti" w:hAnsi="Shruti" w:eastAsia="Shruti" w:cs="Shruti"/>
          <w:iCs/>
        </w:rPr>
        <w:t xml:space="preserve">ફોન</w:t>
      </w:r>
      <w:r>
        <w:rPr>
          <w:iCs/>
        </w:rPr>
        <w:t xml:space="preserve"> </w:t>
      </w:r>
      <w:r>
        <w:rPr>
          <w:rFonts w:ascii="Shruti" w:hAnsi="Shruti" w:eastAsia="Shruti" w:cs="Shruti"/>
          <w:iCs/>
        </w:rPr>
        <w:t xml:space="preserve">કરો</w:t>
      </w:r>
      <w:r>
        <w:rPr>
          <w:iCs/>
        </w:rPr>
        <w:t xml:space="preserve"> 1-800-716-7737 (TTY: 1-800-955-8771).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b/>
          <w:iCs/>
        </w:rPr>
        <w:t xml:space="preserve">Thai:</w:t>
      </w:r>
      <w:r>
        <w:rPr>
          <w:iCs/>
        </w:rPr>
        <w:t xml:space="preserve"> </w:t>
      </w:r>
      <w:r>
        <w:rPr>
          <w:rFonts w:ascii="Angsana New" w:hAnsi="Angsana New" w:eastAsia="Angsana New" w:cs="Angsana New"/>
          <w:iCs/>
        </w:rPr>
        <w:t xml:space="preserve">เรียน</w:t>
      </w:r>
      <w:r>
        <w:rPr>
          <w:iCs/>
        </w:rPr>
        <w:t xml:space="preserve">: </w:t>
      </w:r>
      <w:r>
        <w:rPr>
          <w:rFonts w:ascii="Angsana New" w:hAnsi="Angsana New" w:eastAsia="Angsana New" w:cs="Angsana New"/>
          <w:iCs/>
        </w:rPr>
        <w:t xml:space="preserve">ถ้าคุณพูดภาษาไทยคุณสามารถใช้บริการช่วยเหลือทางภาษาได้ฟรี</w:t>
      </w:r>
      <w:r>
        <w:rPr>
          <w:iCs/>
        </w:rPr>
        <w:t xml:space="preserve"> </w:t>
      </w:r>
      <w:r>
        <w:rPr>
          <w:rFonts w:ascii="Angsana New" w:hAnsi="Angsana New" w:eastAsia="Angsana New" w:cs="Angsana New"/>
          <w:iCs/>
        </w:rPr>
        <w:t xml:space="preserve">โทร</w:t>
      </w:r>
      <w:r>
        <w:rPr>
          <w:iCs/>
        </w:rPr>
        <w:t xml:space="preserve"> 1-800-716-7737 (TTY: 1-800-955-</w:t>
      </w:r>
    </w:p>
    <w:p>
      <w:pPr>
        <w:pStyle w:val="Normal_5eeb4992-7fe2-4888-9340-0991670ceec1"/>
        <w:spacing w:before="0" w:after="0" w:line="240" w:lineRule="auto"/>
        <w:rPr>
          <w:iCs/>
          <w:lang w:val="en-US" w:eastAsia="ar-SA"/>
        </w:rPr>
      </w:pPr>
      <w:r>
        <w:rPr>
          <w:iCs/>
        </w:rPr>
        <w:t xml:space="preserve">8771).</w:t>
      </w: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before="0" w:after="0" w:line="240" w:lineRule="auto"/>
        <w:rPr>
          <w:i/>
          <w:iCs/>
          <w:lang w:val="en-US" w:eastAsia="ar-SA"/>
        </w:rPr>
      </w:pPr>
    </w:p>
    <w:p>
      <w:pPr>
        <w:pStyle w:val="Normal_5eeb4992-7fe2-4888-9340-0991670ceec1"/>
        <w:spacing w:line="240" w:lineRule="auto"/>
        <w:rPr>
          <w:lang w:val="en-US" w:eastAsia="ar-SA"/>
        </w:rPr>
      </w:pPr>
    </w:p>
    <w:sectPr>
      <w:headerReference w:type="even" r:id="rId8"/>
      <w:footerReference w:type="even" r:id="rId9"/>
      <w:headerReference w:type="default" r:id="rId10"/>
      <w:footerReference w:type="default" r:id="rId1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/>
      <w:ind w:left="0"/>
      <w:jc w:val="left"/>
      <w:rPr/>
    </w:pPr>
  </w:p>
  <w:p>
    <w:pPr>
      <w:spacing w:before="0" w:after="0"/>
      <w:ind w:left="0"/>
      <w:jc w:val="center"/>
      <w:rPr/>
    </w:pPr>
    <w:r>
      <w:rPr/>
      <w:fldChar w:fldCharType="begin"/>
    </w:r>
    <w:r>
      <w:rPr/>
      <w:instrText>PAGE PAGE</w:instrText>
    </w:r>
    <w:r>
      <w:rPr/>
      <w:fldChar w:fldCharType="separate"/>
    </w:r>
    <w:r>
      <w:rPr/>
      <w:t xml:space="preserve">PAGE</w:t>
    </w:r>
    <w:r>
      <w:rPr/>
      <w:fldChar w:fldCharType="end"/>
    </w:r>
  </w:p>
</w:ftr>
</file>

<file path=word/footer1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Normal_5eeb4992-7fe2-4888-9340-0991670ceec1"/>
      <w:spacing w:line="240" w:lineRule="auto"/>
      <w:rPr>
        <w:lang w:val="en-US" w:eastAsia="ar-SA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/>
      <w:ind w:left="0"/>
      <w:jc w:val="left"/>
      <w:rPr/>
    </w:pPr>
  </w:p>
  <w:p>
    <w:pPr>
      <w:spacing w:before="0" w:after="0"/>
      <w:ind w:left="0"/>
      <w:jc w:val="center"/>
      <w:rPr/>
    </w:pPr>
    <w:r>
      <w:rPr/>
      <w:fldChar w:fldCharType="begin"/>
    </w:r>
    <w:r>
      <w:rPr/>
      <w:instrText>PAGE PAGE</w:instrText>
    </w:r>
    <w:r>
      <w:rPr/>
      <w:fldChar w:fldCharType="separate"/>
    </w:r>
    <w:r>
      <w:rPr/>
      <w:t xml:space="preserve">PAGE</w:t>
    </w:r>
    <w:r>
      <w:rPr/>
      <w:fldChar w:fldCharType="end"/>
    </w:r>
  </w:p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Normal_31c7f47d-b91d-4c35-a875-d181534dc3da"/>
      <w:spacing w:before="0" w:after="0"/>
      <w:ind w:left="0"/>
      <w:jc w:val="left"/>
      <w:rPr/>
    </w:pPr>
  </w:p>
  <w:p>
    <w:pPr>
      <w:pStyle w:val="Normal_31c7f47d-b91d-4c35-a875-d181534dc3da"/>
      <w:spacing w:before="0" w:after="0"/>
      <w:ind w:left="0"/>
      <w:jc w:val="center"/>
      <w:rPr/>
    </w:pPr>
    <w:r>
      <w:rPr/>
      <w:fldChar w:fldCharType="begin"/>
    </w:r>
    <w:r>
      <w:rPr/>
      <w:instrText>PAGE PAGE</w:instrText>
    </w:r>
    <w:r>
      <w:rPr/>
      <w:fldChar w:fldCharType="separate"/>
    </w:r>
    <w:r>
      <w:rPr/>
      <w:t xml:space="preserve">PAGE</w:t>
    </w:r>
    <w:r>
      <w:rPr/>
      <w:fldChar w:fldCharType="end"/>
    </w: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Normal_31c7f47d-b91d-4c35-a875-d181534dc3da"/>
      <w:spacing w:before="0" w:after="0"/>
      <w:ind w:left="0"/>
      <w:jc w:val="left"/>
      <w:rPr/>
    </w:pPr>
  </w:p>
  <w:p>
    <w:pPr>
      <w:pStyle w:val="Normal_31c7f47d-b91d-4c35-a875-d181534dc3da"/>
      <w:spacing w:before="0" w:after="0"/>
      <w:ind w:left="0"/>
      <w:jc w:val="center"/>
      <w:rPr/>
    </w:pPr>
    <w:r>
      <w:rPr/>
      <w:fldChar w:fldCharType="begin"/>
    </w:r>
    <w:r>
      <w:rPr/>
      <w:instrText>PAGE PAGE</w:instrText>
    </w:r>
    <w:r>
      <w:rPr/>
      <w:fldChar w:fldCharType="separate"/>
    </w:r>
    <w:r>
      <w:rPr/>
      <w:t xml:space="preserve">PAGE</w:t>
    </w:r>
    <w:r>
      <w:rPr/>
      <w:fldChar w:fldCharType="end"/>
    </w: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Normal_5eeb4992-7fe2-4888-9340-0991670ceec1"/>
      <w:spacing w:line="240" w:lineRule="auto"/>
      <w:rPr>
        <w:lang w:val="en-US" w:eastAsia="ar-SA"/>
      </w:rPr>
    </w:pPr>
  </w:p>
</w:ftr>
</file>

<file path=word/header10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Normal_5eeb4992-7fe2-4888-9340-0991670ceec1"/>
      <w:spacing w:line="240" w:lineRule="auto"/>
      <w:rPr>
        <w:lang w:val="en-US" w:eastAsia="ar-SA"/>
      </w:rPr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Normal_5eeb4992-7fe2-4888-9340-0991670ceec1"/>
      <w:spacing w:line="240" w:lineRule="auto"/>
      <w:rPr>
        <w:lang w:val="en-US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evenAndOddHeaders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/>
    </w:rPrDefault>
    <w:pPrDefault>
      <w:pPr>
        <w:spacing/>
      </w:pPr>
    </w:pPrDefault>
  </w:docDefaults>
  <w:style w:type="table" w:styleId="TableNormal" w:default="1">
    <w:name w:val="Normal Table"/>
    <w:semiHidden/>
    <w:unhideWhenUsed/>
    <w:qFormat/>
    <w:pPr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</w:tcPr>
  </w:style>
  <w:style w:type="table" w:styleId="TableGrid">
    <w:name w:val="Table Grid"/>
    <w:basedOn w:val="TableNormal"/>
    <w:pPr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</w:tc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 w:cs="Times New Roman"/>
      <w:sz w:val="24"/>
      <w:szCs w:val="24"/>
    </w:rPr>
  </w:style>
  <w:style w:type="paragraph" w:styleId="Normal_31c7f47d-b91d-4c35-a875-d181534dc3da" w:customStyle="1">
    <w:name w:val="Normal_31c7f47d-b91d-4c35-a875-d181534dc3da"/>
    <w:next w:val="Normal"/>
    <w:pPr>
      <w:spacing/>
    </w:pPr>
    <w:rPr>
      <w:rFonts w:ascii="Times New Roman" w:hAnsi="Times New Roman" w:eastAsia="Times New Roman" w:cs="Times New Roman"/>
      <w:sz w:val="24"/>
      <w:szCs w:val="24"/>
    </w:rPr>
  </w:style>
  <w:style w:type="character" w:styleId="NoList">
    <w:name w:val="No List"/>
    <w:semiHidden/>
    <w:unhideWhenUsed/>
    <w:rPr/>
  </w:style>
  <w:style w:type="character" w:styleId="DefaultParagraphFont" w:default="1">
    <w:name w:val="Default Paragraph Font"/>
    <w:semiHidden/>
    <w:unhideWhenUsed/>
    <w:rPr/>
  </w:style>
  <w:style w:type="paragraph" w:styleId="DrugListHeader" w:customStyle="1">
    <w:name w:val="Drug List Header"/>
    <w:basedOn w:val="Normal"/>
    <w:pPr>
      <w:spacing/>
    </w:pPr>
    <w:rPr/>
  </w:style>
  <w:style w:type="paragraph" w:styleId="Category" w:customStyle="1">
    <w:name w:val="Category"/>
    <w:basedOn w:val="Normal"/>
    <w:pPr>
      <w:spacing/>
    </w:pPr>
    <w:rPr/>
  </w:style>
  <w:style w:type="paragraph" w:styleId="Class" w:customStyle="1">
    <w:name w:val="Class"/>
    <w:basedOn w:val="Normal"/>
    <w:pPr>
      <w:spacing/>
    </w:pPr>
    <w:rPr/>
  </w:style>
  <w:style w:type="paragraph" w:styleId="GenericDrug" w:customStyle="1">
    <w:name w:val="Generic Drug"/>
    <w:basedOn w:val="Normal"/>
    <w:pPr>
      <w:spacing/>
    </w:pPr>
    <w:rPr/>
  </w:style>
  <w:style w:type="paragraph" w:styleId="BrandDrug" w:customStyle="1">
    <w:name w:val="Brand Drug"/>
    <w:basedOn w:val="Normal"/>
    <w:pPr>
      <w:spacing/>
    </w:pPr>
    <w:rPr/>
  </w:style>
  <w:style w:type="paragraph" w:styleId="Tier" w:customStyle="1">
    <w:name w:val="Tier"/>
    <w:basedOn w:val="Normal"/>
    <w:pPr>
      <w:spacing/>
    </w:pPr>
    <w:rPr/>
  </w:style>
  <w:style w:type="paragraph" w:styleId="Requirements" w:customStyle="1">
    <w:name w:val="Requirements"/>
    <w:basedOn w:val="Normal"/>
    <w:pPr>
      <w:spacing/>
    </w:pPr>
    <w:rPr/>
  </w:style>
  <w:style w:type="paragraph" w:styleId="Heading1">
    <w:name w:val="Heading 1"/>
    <w:basedOn w:val="Normal"/>
    <w:qFormat/>
    <w:pPr>
      <w:spacing/>
      <w:outlineLvl w:val="0"/>
    </w:pPr>
    <w:rPr/>
  </w:style>
  <w:style w:type="paragraph" w:styleId="Heading2">
    <w:name w:val="Heading 2"/>
    <w:basedOn w:val="Normal"/>
    <w:qFormat/>
    <w:pPr>
      <w:spacing/>
      <w:outlineLvl w:val="1"/>
    </w:pPr>
    <w:rPr/>
  </w:style>
  <w:style w:type="paragraph" w:styleId="Heading3">
    <w:name w:val="Heading 3"/>
    <w:basedOn w:val="Normal"/>
    <w:qFormat/>
    <w:pPr>
      <w:spacing/>
      <w:outlineLvl w:val="2"/>
    </w:pPr>
    <w:rPr/>
  </w:style>
  <w:style w:type="paragraph" w:styleId="IndexHeading">
    <w:name w:val="Index Heading"/>
    <w:basedOn w:val="Normal"/>
    <w:pPr>
      <w:spacing/>
    </w:pPr>
    <w:rPr>
      <w:rFonts w:ascii="Arial" w:hAnsi="Arial" w:eastAsia="Arial" w:cs="Arial"/>
      <w:b/>
      <w:bCs/>
      <w:sz w:val="20"/>
    </w:rPr>
  </w:style>
  <w:style w:type="paragraph" w:styleId="Index1">
    <w:name w:val="Index 1"/>
    <w:basedOn w:val="Normal"/>
    <w:pPr>
      <w:spacing/>
      <w:ind w:left="240" w:hanging="240"/>
    </w:pPr>
    <w:rPr>
      <w:rFonts w:ascii="Arial" w:hAnsi="Arial" w:eastAsia="Arial" w:cs="Arial"/>
      <w:sz w:val="20"/>
    </w:rPr>
  </w:style>
  <w:style w:type="paragraph" w:styleId="Normal_5eeb4992-7fe2-4888-9340-0991670ceec1" w:customStyle="1">
    <w:name w:val="Normal_5eeb4992-7fe2-4888-9340-0991670ceec1"/>
    <w:next w:val="Normal"/>
    <w:qFormat/>
    <w:pPr>
      <w:spacing w:before="120" w:after="12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_2133c0b0-35b6-40bd-bcbe-5594454bcd0b" w:customStyle="1">
    <w:name w:val="Default Paragraph Font_2133c0b0-35b6-40bd-bcbe-5594454bcd0b"/>
    <w:semiHidden/>
    <w:unhideWhenUsed/>
    <w:rPr/>
  </w:style>
  <w:style w:type="character" w:styleId="Hyperlink">
    <w:name w:val="Hyperlink"/>
    <w:basedOn w:val="DefaultParagraphFont_2133c0b0-35b6-40bd-bcbe-5594454bcd0b"/>
    <w:rPr>
      <w:color w:val="0563C1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1" Type="http://schemas.openxmlformats.org/officeDocument/2006/relationships/footer" Target="footer1.xml" /><Relationship Id="rId3" Type="http://schemas.openxmlformats.org/officeDocument/2006/relationships/footer" Target="footer3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2" Type="http://schemas.openxmlformats.org/officeDocument/2006/relationships/footer" Target="footer2.xml" /><Relationship Id="rId4" Type="http://schemas.openxmlformats.org/officeDocument/2006/relationships/footer" Target="footer4.xml" /><Relationship Id="rId11" Type="http://schemas.openxmlformats.org/officeDocument/2006/relationships/footer" Target="footer11.xml" /><Relationship Id="rId10" Type="http://schemas.openxmlformats.org/officeDocument/2006/relationships/header" Target="header10.xml" /><Relationship Id="rId5" Type="http://schemas.openxmlformats.org/officeDocument/2006/relationships/hyperlink" Target="mailto:civilrightscoordinator@health-first.org" TargetMode="External" /><Relationship Id="rId6" Type="http://schemas.openxmlformats.org/officeDocument/2006/relationships/hyperlink" Target="https://ocrportal.hhs.gov/ocr/portal/lobby.jsf" TargetMode="External" /><Relationship Id="rId7" Type="http://schemas.openxmlformats.org/officeDocument/2006/relationships/hyperlink" Target="http://www.hhs.gov/ocr/office/file/index.html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Company>MMIT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Commercial Formulary</dc:title>
  <dc:subject>Formulary</dc:subject>
  <dc:creator>MMIT</dc:creator>
  <cp:keywords>Formulary</cp:keywords>
</cp:coreProperties>
</file>